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A0755" w14:paraId="160B4F20" w14:textId="77777777" w:rsidTr="003D60F7">
        <w:trPr>
          <w:jc w:val="center"/>
        </w:trPr>
        <w:tc>
          <w:tcPr>
            <w:tcW w:w="9576" w:type="dxa"/>
            <w:hideMark/>
          </w:tcPr>
          <w:p w14:paraId="2AF4C968" w14:textId="77777777" w:rsidR="00DA0755" w:rsidRDefault="00DA0755" w:rsidP="003D60F7">
            <w:pPr>
              <w:rPr>
                <w:i/>
                <w:iCs/>
              </w:rPr>
            </w:pPr>
            <w:r>
              <w:rPr>
                <w:color w:val="59595B"/>
              </w:rPr>
              <w:t xml:space="preserve">A message from </w:t>
            </w:r>
            <w:r>
              <w:rPr>
                <w:b/>
                <w:bCs/>
                <w:color w:val="59595B"/>
              </w:rPr>
              <w:t xml:space="preserve">Adam Morgan, M.D. </w:t>
            </w:r>
            <w:r>
              <w:rPr>
                <w:i/>
                <w:iCs/>
              </w:rPr>
              <w:t>(Laboratory Medical Director | SSM Health St. Mary’s Hospital - Madison) ...</w:t>
            </w:r>
          </w:p>
          <w:p w14:paraId="0BDF7154" w14:textId="77777777" w:rsidR="00DA0755" w:rsidRDefault="00DA0755" w:rsidP="003D60F7">
            <w:pPr>
              <w:rPr>
                <w:sz w:val="20"/>
                <w:szCs w:val="20"/>
              </w:rPr>
            </w:pPr>
          </w:p>
        </w:tc>
      </w:tr>
      <w:tr w:rsidR="00DA0755" w14:paraId="2695F1C9" w14:textId="77777777" w:rsidTr="003D60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single" w:sz="36" w:space="0" w:color="B3B2B1"/>
              <w:right w:val="nil"/>
            </w:tcBorders>
            <w:shd w:val="clear" w:color="auto" w:fill="001F5F"/>
            <w:hideMark/>
          </w:tcPr>
          <w:p w14:paraId="4AE74D86" w14:textId="77777777" w:rsidR="00DA0755" w:rsidRDefault="00DA0755" w:rsidP="003D60F7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69D4D6" wp14:editId="7D16FAF8">
                  <wp:extent cx="1493520" cy="266700"/>
                  <wp:effectExtent l="0" t="0" r="0" b="0"/>
                  <wp:docPr id="1" name="Picture 1" descr="cid:image005.png@01D26D76.E2123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5.png@01D26D76.E2123B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55" w14:paraId="55447010" w14:textId="77777777" w:rsidTr="003D60F7">
        <w:trPr>
          <w:jc w:val="center"/>
        </w:trPr>
        <w:tc>
          <w:tcPr>
            <w:tcW w:w="9576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A0755" w14:paraId="265E3053" w14:textId="77777777" w:rsidTr="00403635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61697945" w14:textId="77777777" w:rsidR="00DA0755" w:rsidRDefault="00DA0755" w:rsidP="003D60F7">
                  <w:pPr>
                    <w:pStyle w:val="SubjectCategoryteal"/>
                    <w:rPr>
                      <w:sz w:val="20"/>
                      <w:szCs w:val="20"/>
                    </w:rPr>
                  </w:pPr>
                </w:p>
              </w:tc>
            </w:tr>
            <w:tr w:rsidR="00DA0755" w14:paraId="5EC68965" w14:textId="77777777" w:rsidTr="00403635">
              <w:tc>
                <w:tcPr>
                  <w:tcW w:w="17864" w:type="dxa"/>
                  <w:shd w:val="clear" w:color="auto" w:fill="0083A2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067094FB" w14:textId="6DA003D9" w:rsidR="00DA0755" w:rsidRPr="00D26B59" w:rsidRDefault="00D26B59" w:rsidP="002C267A">
                  <w:pPr>
                    <w:pStyle w:val="Subject"/>
                    <w:rPr>
                      <w:sz w:val="28"/>
                    </w:rPr>
                  </w:pPr>
                  <w:r>
                    <w:rPr>
                      <w:sz w:val="28"/>
                    </w:rPr>
                    <w:t>Urinalysis testing</w:t>
                  </w:r>
                </w:p>
                <w:p w14:paraId="281016D6" w14:textId="46E1B17B" w:rsidR="00DA0755" w:rsidRDefault="00DA0755" w:rsidP="002C267A">
                  <w:pPr>
                    <w:pStyle w:val="Subje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Notification Date: </w:t>
                  </w:r>
                  <w:r w:rsidR="00E86DCF">
                    <w:rPr>
                      <w:sz w:val="28"/>
                    </w:rPr>
                    <w:t>6/27/2024</w:t>
                  </w:r>
                </w:p>
                <w:p w14:paraId="0C48C552" w14:textId="1FAA0DB7" w:rsidR="00DA0755" w:rsidRDefault="00DA0755" w:rsidP="002C267A">
                  <w:pPr>
                    <w:pStyle w:val="Subject"/>
                    <w:rPr>
                      <w:sz w:val="30"/>
                      <w:szCs w:val="30"/>
                    </w:rPr>
                  </w:pPr>
                  <w:r>
                    <w:rPr>
                      <w:sz w:val="28"/>
                    </w:rPr>
                    <w:t xml:space="preserve">Effective Date: </w:t>
                  </w:r>
                  <w:r w:rsidR="00E86DCF">
                    <w:rPr>
                      <w:sz w:val="28"/>
                    </w:rPr>
                    <w:t xml:space="preserve"> 6/25/2024</w:t>
                  </w:r>
                </w:p>
              </w:tc>
            </w:tr>
            <w:tr w:rsidR="00DA0755" w14:paraId="762730A2" w14:textId="77777777" w:rsidTr="00403635">
              <w:trPr>
                <w:trHeight w:val="3831"/>
              </w:trPr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</w:tcPr>
                <w:p w14:paraId="0191C0C9" w14:textId="77777777" w:rsidR="00DA0755" w:rsidRDefault="00DA0755" w:rsidP="003D60F7"/>
                <w:p w14:paraId="4F9D915F" w14:textId="641083DF" w:rsidR="00DA0755" w:rsidRPr="002C267A" w:rsidRDefault="002C267A" w:rsidP="003D60F7">
                  <w:pPr>
                    <w:rPr>
                      <w:sz w:val="22"/>
                      <w:szCs w:val="22"/>
                    </w:rPr>
                  </w:pPr>
                  <w:r w:rsidRPr="002C267A">
                    <w:rPr>
                      <w:sz w:val="22"/>
                      <w:szCs w:val="22"/>
                    </w:rPr>
                    <w:t>SUBJECT</w:t>
                  </w:r>
                  <w:r w:rsidR="00957D59" w:rsidRPr="002C267A">
                    <w:rPr>
                      <w:sz w:val="22"/>
                      <w:szCs w:val="22"/>
                    </w:rPr>
                    <w:t xml:space="preserve">: </w:t>
                  </w:r>
                  <w:r w:rsidR="00E86DCF">
                    <w:rPr>
                      <w:sz w:val="22"/>
                      <w:szCs w:val="22"/>
                    </w:rPr>
                    <w:t>Urine specimen requirements have changed</w:t>
                  </w:r>
                </w:p>
                <w:p w14:paraId="28018C97" w14:textId="5E7B5831" w:rsidR="002C267A" w:rsidRDefault="002C267A" w:rsidP="003D60F7">
                  <w:pPr>
                    <w:rPr>
                      <w:sz w:val="22"/>
                      <w:szCs w:val="22"/>
                    </w:rPr>
                  </w:pPr>
                </w:p>
                <w:p w14:paraId="009EA955" w14:textId="61D2D68D" w:rsidR="00E86DCF" w:rsidRDefault="00E86DCF" w:rsidP="003D60F7">
                  <w:pPr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</w:pPr>
                  <w:r w:rsidRPr="00C9178D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SITES: ST. MARY’S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 xml:space="preserve"> MADISON HOSPITAL</w:t>
                  </w:r>
                </w:p>
                <w:p w14:paraId="18FE00C0" w14:textId="77777777" w:rsidR="00D26B59" w:rsidRPr="002C267A" w:rsidRDefault="00D26B59" w:rsidP="003D60F7">
                  <w:pPr>
                    <w:rPr>
                      <w:sz w:val="22"/>
                      <w:szCs w:val="22"/>
                    </w:rPr>
                  </w:pPr>
                </w:p>
                <w:p w14:paraId="557C4667" w14:textId="77777777" w:rsidR="00B86364" w:rsidRDefault="00D26B59" w:rsidP="00B86364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D26B59">
                    <w:rPr>
                      <w:sz w:val="22"/>
                      <w:szCs w:val="22"/>
                    </w:rPr>
                    <w:t xml:space="preserve">Marble topped tubes </w:t>
                  </w:r>
                  <w:r w:rsidR="00B86364">
                    <w:rPr>
                      <w:sz w:val="22"/>
                      <w:szCs w:val="22"/>
                    </w:rPr>
                    <w:t xml:space="preserve">are </w:t>
                  </w:r>
                  <w:r w:rsidR="00B86364" w:rsidRPr="00B86364">
                    <w:rPr>
                      <w:i/>
                      <w:iCs/>
                      <w:sz w:val="22"/>
                      <w:szCs w:val="22"/>
                    </w:rPr>
                    <w:t>no longer acceptable</w:t>
                  </w:r>
                  <w:r w:rsidR="00B86364">
                    <w:rPr>
                      <w:sz w:val="22"/>
                      <w:szCs w:val="22"/>
                    </w:rPr>
                    <w:t xml:space="preserve"> containers </w:t>
                  </w:r>
                  <w:r>
                    <w:rPr>
                      <w:sz w:val="22"/>
                      <w:szCs w:val="22"/>
                    </w:rPr>
                    <w:t xml:space="preserve">for urine testing. </w:t>
                  </w:r>
                </w:p>
                <w:p w14:paraId="63619424" w14:textId="7C86ABDD" w:rsidR="00D26B59" w:rsidRDefault="00B86364" w:rsidP="00B86364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B86364">
                    <w:rPr>
                      <w:b/>
                      <w:bCs/>
                      <w:sz w:val="22"/>
                      <w:szCs w:val="22"/>
                    </w:rPr>
                    <w:t>Sterile urine cups</w:t>
                  </w:r>
                  <w:r>
                    <w:rPr>
                      <w:sz w:val="22"/>
                      <w:szCs w:val="22"/>
                    </w:rPr>
                    <w:t xml:space="preserve"> are a</w:t>
                  </w:r>
                  <w:r w:rsidR="00D26B59">
                    <w:rPr>
                      <w:sz w:val="22"/>
                      <w:szCs w:val="22"/>
                    </w:rPr>
                    <w:t>cceptable containers for these tests:</w:t>
                  </w:r>
                </w:p>
                <w:p w14:paraId="134151E0" w14:textId="77777777" w:rsidR="00C05387" w:rsidRPr="0004696B" w:rsidRDefault="00C05387" w:rsidP="003D60F7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XSpec="center" w:tblpY="-120"/>
                    <w:tblOverlap w:val="never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695"/>
                    <w:gridCol w:w="5040"/>
                  </w:tblGrid>
                  <w:tr w:rsidR="0004696B" w:rsidRPr="0004696B" w14:paraId="7677F253" w14:textId="77777777" w:rsidTr="00E576E8">
                    <w:trPr>
                      <w:trHeight w:val="440"/>
                      <w:jc w:val="center"/>
                    </w:trPr>
                    <w:tc>
                      <w:tcPr>
                        <w:tcW w:w="2695" w:type="dxa"/>
                        <w:shd w:val="clear" w:color="auto" w:fill="E7E6E6" w:themeFill="background2"/>
                      </w:tcPr>
                      <w:p w14:paraId="1625CD81" w14:textId="28E7D460" w:rsidR="00403635" w:rsidRPr="0004696B" w:rsidRDefault="0004696B" w:rsidP="00403635">
                        <w:pPr>
                          <w:jc w:val="center"/>
                          <w:rPr>
                            <w:b/>
                            <w:bCs/>
                            <w:color w:val="59595B"/>
                          </w:rPr>
                        </w:pPr>
                        <w:r w:rsidRPr="0004696B">
                          <w:rPr>
                            <w:b/>
                            <w:bCs/>
                            <w:color w:val="59595B"/>
                          </w:rPr>
                          <w:t>TEST NUMBER</w:t>
                        </w:r>
                      </w:p>
                    </w:tc>
                    <w:tc>
                      <w:tcPr>
                        <w:tcW w:w="5040" w:type="dxa"/>
                        <w:shd w:val="clear" w:color="auto" w:fill="E7E6E6" w:themeFill="background2"/>
                      </w:tcPr>
                      <w:p w14:paraId="434984C9" w14:textId="20C01981" w:rsidR="00403635" w:rsidRPr="0004696B" w:rsidRDefault="0004696B" w:rsidP="00403635">
                        <w:pPr>
                          <w:jc w:val="center"/>
                          <w:rPr>
                            <w:b/>
                            <w:bCs/>
                            <w:color w:val="59595B"/>
                          </w:rPr>
                        </w:pPr>
                        <w:r w:rsidRPr="0004696B">
                          <w:rPr>
                            <w:b/>
                            <w:bCs/>
                            <w:color w:val="59595B"/>
                          </w:rPr>
                          <w:t>TEST NAME</w:t>
                        </w:r>
                      </w:p>
                    </w:tc>
                  </w:tr>
                  <w:tr w:rsidR="003D267F" w14:paraId="51AA7AA5" w14:textId="77777777" w:rsidTr="00E576E8">
                    <w:trPr>
                      <w:trHeight w:val="527"/>
                      <w:jc w:val="center"/>
                    </w:trPr>
                    <w:tc>
                      <w:tcPr>
                        <w:tcW w:w="2695" w:type="dxa"/>
                        <w:vAlign w:val="bottom"/>
                      </w:tcPr>
                      <w:p w14:paraId="72985C26" w14:textId="023CEF34" w:rsidR="00C05387" w:rsidRDefault="0004696B" w:rsidP="00B86364">
                        <w:pPr>
                          <w:spacing w:before="80" w:after="12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LAB07502</w:t>
                        </w:r>
                      </w:p>
                    </w:tc>
                    <w:tc>
                      <w:tcPr>
                        <w:tcW w:w="5040" w:type="dxa"/>
                        <w:vAlign w:val="center"/>
                      </w:tcPr>
                      <w:p w14:paraId="5A1423B3" w14:textId="670A2818" w:rsidR="00403635" w:rsidRDefault="0004696B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Urinalysis Reflex Microscopic Reflex culture</w:t>
                        </w:r>
                      </w:p>
                    </w:tc>
                  </w:tr>
                  <w:tr w:rsidR="00B86364" w14:paraId="73DF4570" w14:textId="77777777" w:rsidTr="00E576E8">
                    <w:trPr>
                      <w:trHeight w:val="527"/>
                      <w:jc w:val="center"/>
                    </w:trPr>
                    <w:tc>
                      <w:tcPr>
                        <w:tcW w:w="2695" w:type="dxa"/>
                        <w:vAlign w:val="bottom"/>
                      </w:tcPr>
                      <w:p w14:paraId="5470C651" w14:textId="0FEA8F61" w:rsidR="00B86364" w:rsidRDefault="00B86364" w:rsidP="00B86364">
                        <w:pPr>
                          <w:spacing w:before="80" w:after="12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LAB10361</w:t>
                        </w:r>
                      </w:p>
                    </w:tc>
                    <w:tc>
                      <w:tcPr>
                        <w:tcW w:w="5040" w:type="dxa"/>
                        <w:vAlign w:val="center"/>
                      </w:tcPr>
                      <w:p w14:paraId="0574FB74" w14:textId="326FC7AB" w:rsidR="00B86364" w:rsidRDefault="00B86364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Urinalysis with Microscopic NO culture</w:t>
                        </w:r>
                      </w:p>
                    </w:tc>
                  </w:tr>
                  <w:tr w:rsidR="003D267F" w14:paraId="09955809" w14:textId="77777777" w:rsidTr="00E576E8">
                    <w:trPr>
                      <w:trHeight w:val="518"/>
                      <w:jc w:val="center"/>
                    </w:trPr>
                    <w:tc>
                      <w:tcPr>
                        <w:tcW w:w="2695" w:type="dxa"/>
                        <w:vAlign w:val="bottom"/>
                      </w:tcPr>
                      <w:p w14:paraId="745DE91D" w14:textId="0DFB18C3" w:rsidR="00C05387" w:rsidRDefault="003D267F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LAB</w:t>
                        </w:r>
                        <w:r w:rsidR="00666BD9">
                          <w:rPr>
                            <w:color w:val="59595B"/>
                          </w:rPr>
                          <w:t>90205</w:t>
                        </w:r>
                      </w:p>
                    </w:tc>
                    <w:tc>
                      <w:tcPr>
                        <w:tcW w:w="5040" w:type="dxa"/>
                        <w:vAlign w:val="center"/>
                      </w:tcPr>
                      <w:p w14:paraId="51C4E516" w14:textId="4B467193" w:rsidR="00403635" w:rsidRDefault="00666BD9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Urinalysis with Microscopic Reflex to culture</w:t>
                        </w:r>
                      </w:p>
                    </w:tc>
                  </w:tr>
                  <w:tr w:rsidR="003D267F" w14:paraId="74425900" w14:textId="77777777" w:rsidTr="00E576E8">
                    <w:trPr>
                      <w:trHeight w:val="500"/>
                      <w:jc w:val="center"/>
                    </w:trPr>
                    <w:tc>
                      <w:tcPr>
                        <w:tcW w:w="2695" w:type="dxa"/>
                        <w:vAlign w:val="bottom"/>
                      </w:tcPr>
                      <w:p w14:paraId="415EF8FB" w14:textId="1E5C8DB7" w:rsidR="00C05387" w:rsidRDefault="00666BD9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LAB07530</w:t>
                        </w:r>
                      </w:p>
                    </w:tc>
                    <w:tc>
                      <w:tcPr>
                        <w:tcW w:w="5040" w:type="dxa"/>
                        <w:vAlign w:val="center"/>
                      </w:tcPr>
                      <w:p w14:paraId="7382995C" w14:textId="6F42DC81" w:rsidR="00403635" w:rsidRDefault="00666BD9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 xml:space="preserve">Urinalysis Reflex to Microscopic </w:t>
                        </w:r>
                        <w:r w:rsidR="008A1771">
                          <w:rPr>
                            <w:color w:val="59595B"/>
                          </w:rPr>
                          <w:t xml:space="preserve">NO </w:t>
                        </w:r>
                        <w:r>
                          <w:rPr>
                            <w:color w:val="59595B"/>
                          </w:rPr>
                          <w:t>culture</w:t>
                        </w:r>
                      </w:p>
                    </w:tc>
                  </w:tr>
                  <w:tr w:rsidR="00403635" w14:paraId="0AB5E0B8" w14:textId="77777777" w:rsidTr="00E576E8">
                    <w:trPr>
                      <w:trHeight w:val="572"/>
                      <w:jc w:val="center"/>
                    </w:trPr>
                    <w:tc>
                      <w:tcPr>
                        <w:tcW w:w="2695" w:type="dxa"/>
                        <w:vAlign w:val="bottom"/>
                      </w:tcPr>
                      <w:p w14:paraId="68E7E8B3" w14:textId="5FB55668" w:rsidR="00C05387" w:rsidRDefault="008A1771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LAB07532</w:t>
                        </w:r>
                      </w:p>
                    </w:tc>
                    <w:tc>
                      <w:tcPr>
                        <w:tcW w:w="5040" w:type="dxa"/>
                        <w:vAlign w:val="center"/>
                      </w:tcPr>
                      <w:p w14:paraId="23D703B4" w14:textId="45D8B0B2" w:rsidR="00403635" w:rsidRDefault="008A1771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Urinalysis NO Microscopic NO culture</w:t>
                        </w:r>
                      </w:p>
                    </w:tc>
                  </w:tr>
                  <w:tr w:rsidR="003D267F" w14:paraId="7BED7563" w14:textId="77777777" w:rsidTr="00E576E8">
                    <w:trPr>
                      <w:trHeight w:val="527"/>
                      <w:jc w:val="center"/>
                    </w:trPr>
                    <w:tc>
                      <w:tcPr>
                        <w:tcW w:w="2695" w:type="dxa"/>
                        <w:vAlign w:val="bottom"/>
                      </w:tcPr>
                      <w:p w14:paraId="305D5B7F" w14:textId="4AC0C513" w:rsidR="00C05387" w:rsidRDefault="008A1771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LAB07500</w:t>
                        </w:r>
                      </w:p>
                    </w:tc>
                    <w:tc>
                      <w:tcPr>
                        <w:tcW w:w="5040" w:type="dxa"/>
                        <w:vAlign w:val="center"/>
                      </w:tcPr>
                      <w:p w14:paraId="088BF2C7" w14:textId="76057A53" w:rsidR="00403635" w:rsidRDefault="008A1771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Ketone</w:t>
                        </w:r>
                        <w:r w:rsidR="00735245">
                          <w:rPr>
                            <w:color w:val="59595B"/>
                          </w:rPr>
                          <w:t>s Qual Urine Auto</w:t>
                        </w:r>
                      </w:p>
                    </w:tc>
                  </w:tr>
                  <w:tr w:rsidR="003D267F" w14:paraId="13DFB187" w14:textId="77777777" w:rsidTr="00E576E8">
                    <w:trPr>
                      <w:trHeight w:val="527"/>
                      <w:jc w:val="center"/>
                    </w:trPr>
                    <w:tc>
                      <w:tcPr>
                        <w:tcW w:w="2695" w:type="dxa"/>
                        <w:vAlign w:val="bottom"/>
                      </w:tcPr>
                      <w:p w14:paraId="5FBD408A" w14:textId="605535F4" w:rsidR="00C05387" w:rsidRDefault="00980E7A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LAB07534</w:t>
                        </w:r>
                      </w:p>
                    </w:tc>
                    <w:tc>
                      <w:tcPr>
                        <w:tcW w:w="5040" w:type="dxa"/>
                        <w:vAlign w:val="center"/>
                      </w:tcPr>
                      <w:p w14:paraId="7A61C56C" w14:textId="4C25904C" w:rsidR="00403635" w:rsidRDefault="00980E7A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pH Urine Auto</w:t>
                        </w:r>
                      </w:p>
                    </w:tc>
                  </w:tr>
                  <w:tr w:rsidR="003D267F" w14:paraId="53E12570" w14:textId="77777777" w:rsidTr="00E576E8">
                    <w:trPr>
                      <w:trHeight w:val="527"/>
                      <w:jc w:val="center"/>
                    </w:trPr>
                    <w:tc>
                      <w:tcPr>
                        <w:tcW w:w="2695" w:type="dxa"/>
                        <w:vAlign w:val="bottom"/>
                      </w:tcPr>
                      <w:p w14:paraId="07AA5419" w14:textId="4003B97E" w:rsidR="00C05387" w:rsidRDefault="00C05387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LAB07523</w:t>
                        </w:r>
                      </w:p>
                    </w:tc>
                    <w:tc>
                      <w:tcPr>
                        <w:tcW w:w="5040" w:type="dxa"/>
                        <w:vAlign w:val="center"/>
                      </w:tcPr>
                      <w:p w14:paraId="2C690492" w14:textId="3A928044" w:rsidR="00403635" w:rsidRDefault="00C05387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Protein Qualitative Urine Auto</w:t>
                        </w:r>
                      </w:p>
                    </w:tc>
                  </w:tr>
                  <w:tr w:rsidR="003D267F" w14:paraId="76167485" w14:textId="77777777" w:rsidTr="00E576E8">
                    <w:trPr>
                      <w:trHeight w:val="545"/>
                      <w:jc w:val="center"/>
                    </w:trPr>
                    <w:tc>
                      <w:tcPr>
                        <w:tcW w:w="2695" w:type="dxa"/>
                        <w:vAlign w:val="bottom"/>
                      </w:tcPr>
                      <w:p w14:paraId="7F660FB4" w14:textId="69EFE72B" w:rsidR="00C05387" w:rsidRDefault="00C05387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LAB07519</w:t>
                        </w:r>
                      </w:p>
                    </w:tc>
                    <w:tc>
                      <w:tcPr>
                        <w:tcW w:w="5040" w:type="dxa"/>
                        <w:vAlign w:val="center"/>
                      </w:tcPr>
                      <w:p w14:paraId="09755A50" w14:textId="1552715C" w:rsidR="00403635" w:rsidRDefault="00C05387" w:rsidP="006D6555">
                        <w:pPr>
                          <w:spacing w:before="80" w:after="80"/>
                          <w:jc w:val="center"/>
                          <w:rPr>
                            <w:color w:val="59595B"/>
                          </w:rPr>
                        </w:pPr>
                        <w:r>
                          <w:rPr>
                            <w:color w:val="59595B"/>
                          </w:rPr>
                          <w:t>Specific Gravity Urine</w:t>
                        </w:r>
                      </w:p>
                    </w:tc>
                  </w:tr>
                </w:tbl>
                <w:p w14:paraId="2EC6FBD9" w14:textId="3853F203" w:rsidR="00D26B59" w:rsidRDefault="00D26B59" w:rsidP="003D60F7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  <w:p w14:paraId="079AB17C" w14:textId="77777777" w:rsidR="00F5135A" w:rsidRDefault="00F5135A" w:rsidP="003D60F7">
                  <w:pPr>
                    <w:rPr>
                      <w:sz w:val="22"/>
                      <w:szCs w:val="22"/>
                    </w:rPr>
                  </w:pPr>
                </w:p>
                <w:p w14:paraId="2D96441B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67963C92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090C8B7B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26035DC9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69BD9E5A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43DDC6D9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27948DBC" w14:textId="29E6613A" w:rsidR="00DA0755" w:rsidRDefault="00DA0755" w:rsidP="003D60F7">
                  <w:pPr>
                    <w:rPr>
                      <w:sz w:val="22"/>
                      <w:szCs w:val="22"/>
                    </w:rPr>
                  </w:pPr>
                </w:p>
                <w:p w14:paraId="7E1811A9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1A6D1B02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4F5284F5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07D4983F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3E3C6679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1E7CB35F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030BDC7D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689E342A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0870AF7A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7274AD1B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09421989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1C3A0A17" w14:textId="77777777" w:rsidR="00E576E8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0EE1A963" w14:textId="77777777" w:rsidR="00E576E8" w:rsidRPr="002C267A" w:rsidRDefault="00E576E8" w:rsidP="003D60F7">
                  <w:pPr>
                    <w:rPr>
                      <w:sz w:val="22"/>
                      <w:szCs w:val="22"/>
                    </w:rPr>
                  </w:pPr>
                </w:p>
                <w:p w14:paraId="090E1C99" w14:textId="67D4D353" w:rsidR="00DA0755" w:rsidRPr="00E576E8" w:rsidRDefault="00E576E8" w:rsidP="003D60F7">
                  <w:pPr>
                    <w:rPr>
                      <w:sz w:val="22"/>
                      <w:szCs w:val="22"/>
                    </w:rPr>
                  </w:pPr>
                  <w:r w:rsidRPr="00E576E8">
                    <w:rPr>
                      <w:sz w:val="22"/>
                      <w:szCs w:val="22"/>
                    </w:rPr>
                    <w:t>Please communicate to colleagues and staff in your area accordingly.</w:t>
                  </w:r>
                </w:p>
                <w:p w14:paraId="174A066B" w14:textId="77777777" w:rsidR="00E576E8" w:rsidRPr="00620514" w:rsidRDefault="00E576E8" w:rsidP="003D60F7">
                  <w:pPr>
                    <w:rPr>
                      <w:sz w:val="20"/>
                      <w:szCs w:val="20"/>
                    </w:rPr>
                  </w:pPr>
                </w:p>
                <w:p w14:paraId="7D6BCF01" w14:textId="77777777" w:rsidR="00DA0755" w:rsidRPr="00957D59" w:rsidRDefault="00DA0755" w:rsidP="003D60F7">
                  <w:pPr>
                    <w:rPr>
                      <w:sz w:val="20"/>
                      <w:szCs w:val="20"/>
                    </w:rPr>
                  </w:pPr>
                  <w:r w:rsidRPr="00620514">
                    <w:rPr>
                      <w:sz w:val="20"/>
                      <w:szCs w:val="20"/>
                    </w:rPr>
                    <w:t>Thank you,</w:t>
                  </w:r>
                </w:p>
                <w:p w14:paraId="2BF146C3" w14:textId="77777777" w:rsidR="00DA0755" w:rsidRPr="00531D73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</w:pPr>
                  <w:r w:rsidRPr="00531D73"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  <w:t>Adam Morgan, M.D.</w:t>
                  </w:r>
                </w:p>
                <w:p w14:paraId="623461CF" w14:textId="77777777" w:rsidR="00DA0755" w:rsidRPr="00B36AD9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Laboratory Medical Director</w:t>
                  </w:r>
                </w:p>
                <w:p w14:paraId="0E991A2B" w14:textId="77777777" w:rsidR="00DA0755" w:rsidRPr="00B36AD9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Pathology, SSM Health St. Mary’s Hospital Madison</w:t>
                  </w:r>
                </w:p>
                <w:p w14:paraId="228DA08A" w14:textId="77777777" w:rsidR="00DA0755" w:rsidRPr="00B36AD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700 South Park Street</w:t>
                  </w:r>
                </w:p>
                <w:p w14:paraId="2E549B76" w14:textId="77777777" w:rsidR="00DA0755" w:rsidRPr="00B36AD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Madison, WI 53715</w:t>
                  </w:r>
                </w:p>
                <w:p w14:paraId="7EDCC2B9" w14:textId="77777777" w:rsidR="00DA0755" w:rsidRPr="00957D5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Office: (608) 258-69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DA0755" w14:paraId="03BFE12E" w14:textId="77777777" w:rsidTr="00403635"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5881B9C0" w14:textId="77777777" w:rsidR="00DA0755" w:rsidRDefault="00DA0755" w:rsidP="003D60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2E60CC" w14:textId="77777777" w:rsidR="00DA0755" w:rsidRDefault="00DA0755" w:rsidP="003D6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960" w14:paraId="28A21AA5" w14:textId="77777777" w:rsidTr="003D60F7">
        <w:trPr>
          <w:jc w:val="center"/>
        </w:trPr>
        <w:tc>
          <w:tcPr>
            <w:tcW w:w="9576" w:type="dxa"/>
            <w:shd w:val="clear" w:color="auto" w:fill="FFFFFF"/>
          </w:tcPr>
          <w:p w14:paraId="60F81748" w14:textId="77777777" w:rsidR="00C75960" w:rsidRDefault="00C75960" w:rsidP="003D60F7">
            <w:pPr>
              <w:pStyle w:val="SubjectCategoryteal"/>
              <w:rPr>
                <w:sz w:val="20"/>
                <w:szCs w:val="20"/>
              </w:rPr>
            </w:pPr>
          </w:p>
        </w:tc>
      </w:tr>
      <w:tr w:rsidR="00C75960" w14:paraId="59B9D92B" w14:textId="77777777" w:rsidTr="003D60F7">
        <w:trPr>
          <w:jc w:val="center"/>
        </w:trPr>
        <w:tc>
          <w:tcPr>
            <w:tcW w:w="9576" w:type="dxa"/>
            <w:shd w:val="clear" w:color="auto" w:fill="FFFFFF"/>
          </w:tcPr>
          <w:p w14:paraId="42EEAEEF" w14:textId="77777777" w:rsidR="00C75960" w:rsidRDefault="00C75960" w:rsidP="003D60F7">
            <w:pPr>
              <w:pStyle w:val="SubjectCategoryteal"/>
              <w:rPr>
                <w:sz w:val="20"/>
                <w:szCs w:val="20"/>
              </w:rPr>
            </w:pPr>
          </w:p>
        </w:tc>
      </w:tr>
      <w:tr w:rsidR="0079651D" w14:paraId="64A17360" w14:textId="77777777" w:rsidTr="003D60F7">
        <w:trPr>
          <w:jc w:val="center"/>
        </w:trPr>
        <w:tc>
          <w:tcPr>
            <w:tcW w:w="9576" w:type="dxa"/>
            <w:shd w:val="clear" w:color="auto" w:fill="FFFFFF"/>
          </w:tcPr>
          <w:p w14:paraId="6A0533CF" w14:textId="77777777" w:rsidR="0079651D" w:rsidRDefault="0079651D" w:rsidP="003D60F7">
            <w:pPr>
              <w:pStyle w:val="SubjectCategoryteal"/>
              <w:rPr>
                <w:sz w:val="20"/>
                <w:szCs w:val="20"/>
              </w:rPr>
            </w:pPr>
          </w:p>
        </w:tc>
      </w:tr>
    </w:tbl>
    <w:p w14:paraId="3D8BFCB1" w14:textId="77777777" w:rsidR="00622925" w:rsidRDefault="00622925" w:rsidP="00957D59"/>
    <w:sectPr w:rsidR="0062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E31DC1"/>
    <w:multiLevelType w:val="hybridMultilevel"/>
    <w:tmpl w:val="68781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D39CE"/>
    <w:multiLevelType w:val="hybridMultilevel"/>
    <w:tmpl w:val="0B725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939B4"/>
    <w:multiLevelType w:val="multilevel"/>
    <w:tmpl w:val="53BE3B10"/>
    <w:lvl w:ilvl="0">
      <w:start w:val="1"/>
      <w:numFmt w:val="bullet"/>
      <w:pStyle w:val="List-Unordered"/>
      <w:lvlText w:val=""/>
      <w:lvlJc w:val="left"/>
      <w:pPr>
        <w:ind w:left="720" w:hanging="360"/>
      </w:pPr>
      <w:rPr>
        <w:rFonts w:ascii="Symbol" w:hAnsi="Symbol" w:hint="default"/>
        <w:color w:val="B3B2B1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cs="Times New Roman" w:hint="default"/>
        <w:color w:val="80808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3B2B1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Arial" w:hAnsi="Arial" w:cs="Times New Roman" w:hint="default"/>
        <w:color w:val="80808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3B2B1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  <w:color w:val="80808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3B2B1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Arial" w:hAnsi="Arial" w:cs="Times New Roman" w:hint="default"/>
        <w:color w:val="808080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B3B2B1"/>
      </w:rPr>
    </w:lvl>
  </w:abstractNum>
  <w:abstractNum w:abstractNumId="13" w15:restartNumberingAfterBreak="0">
    <w:nsid w:val="4E292EF1"/>
    <w:multiLevelType w:val="hybridMultilevel"/>
    <w:tmpl w:val="F9F6E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1E1749"/>
    <w:multiLevelType w:val="hybridMultilevel"/>
    <w:tmpl w:val="6582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1385447">
    <w:abstractNumId w:val="17"/>
  </w:num>
  <w:num w:numId="2" w16cid:durableId="1716543013">
    <w:abstractNumId w:val="14"/>
  </w:num>
  <w:num w:numId="3" w16cid:durableId="1959138767">
    <w:abstractNumId w:val="16"/>
  </w:num>
  <w:num w:numId="4" w16cid:durableId="897210818">
    <w:abstractNumId w:val="9"/>
  </w:num>
  <w:num w:numId="5" w16cid:durableId="1323393134">
    <w:abstractNumId w:val="7"/>
  </w:num>
  <w:num w:numId="6" w16cid:durableId="1506551641">
    <w:abstractNumId w:val="6"/>
  </w:num>
  <w:num w:numId="7" w16cid:durableId="216091629">
    <w:abstractNumId w:val="5"/>
  </w:num>
  <w:num w:numId="8" w16cid:durableId="1578972838">
    <w:abstractNumId w:val="4"/>
  </w:num>
  <w:num w:numId="9" w16cid:durableId="867837971">
    <w:abstractNumId w:val="8"/>
  </w:num>
  <w:num w:numId="10" w16cid:durableId="2136410690">
    <w:abstractNumId w:val="3"/>
  </w:num>
  <w:num w:numId="11" w16cid:durableId="683358868">
    <w:abstractNumId w:val="2"/>
  </w:num>
  <w:num w:numId="12" w16cid:durableId="694038249">
    <w:abstractNumId w:val="1"/>
  </w:num>
  <w:num w:numId="13" w16cid:durableId="133524185">
    <w:abstractNumId w:val="0"/>
  </w:num>
  <w:num w:numId="14" w16cid:durableId="1940984580">
    <w:abstractNumId w:val="12"/>
  </w:num>
  <w:num w:numId="15" w16cid:durableId="540745808">
    <w:abstractNumId w:val="13"/>
  </w:num>
  <w:num w:numId="16" w16cid:durableId="766509262">
    <w:abstractNumId w:val="15"/>
  </w:num>
  <w:num w:numId="17" w16cid:durableId="1755780770">
    <w:abstractNumId w:val="11"/>
  </w:num>
  <w:num w:numId="18" w16cid:durableId="547382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5"/>
    <w:rsid w:val="00001204"/>
    <w:rsid w:val="000371DE"/>
    <w:rsid w:val="0004696B"/>
    <w:rsid w:val="002356A7"/>
    <w:rsid w:val="00276A61"/>
    <w:rsid w:val="002C267A"/>
    <w:rsid w:val="003C1DF3"/>
    <w:rsid w:val="003D267F"/>
    <w:rsid w:val="00403635"/>
    <w:rsid w:val="00525CE0"/>
    <w:rsid w:val="00566F69"/>
    <w:rsid w:val="00620514"/>
    <w:rsid w:val="00622925"/>
    <w:rsid w:val="00666BD9"/>
    <w:rsid w:val="006D6555"/>
    <w:rsid w:val="00735245"/>
    <w:rsid w:val="00776D5D"/>
    <w:rsid w:val="0079651D"/>
    <w:rsid w:val="00843D4F"/>
    <w:rsid w:val="008A1771"/>
    <w:rsid w:val="00916D87"/>
    <w:rsid w:val="00957D59"/>
    <w:rsid w:val="00971FB2"/>
    <w:rsid w:val="00980E7A"/>
    <w:rsid w:val="00AB3DDF"/>
    <w:rsid w:val="00B86364"/>
    <w:rsid w:val="00B92C77"/>
    <w:rsid w:val="00BF7589"/>
    <w:rsid w:val="00C05387"/>
    <w:rsid w:val="00C57906"/>
    <w:rsid w:val="00C700F9"/>
    <w:rsid w:val="00C75960"/>
    <w:rsid w:val="00C76C0F"/>
    <w:rsid w:val="00C85F37"/>
    <w:rsid w:val="00CB264A"/>
    <w:rsid w:val="00D26B59"/>
    <w:rsid w:val="00DA0755"/>
    <w:rsid w:val="00E576E8"/>
    <w:rsid w:val="00E86DCF"/>
    <w:rsid w:val="00EA625F"/>
    <w:rsid w:val="00EF22C8"/>
    <w:rsid w:val="00F5135A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8965"/>
  <w15:chartTrackingRefBased/>
  <w15:docId w15:val="{5428423F-8A1D-4BAB-AB81-AE949683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55"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  <w:style w:type="paragraph" w:customStyle="1" w:styleId="List-Unordered">
    <w:name w:val="List - Unordered"/>
    <w:basedOn w:val="Normal"/>
    <w:rsid w:val="00DA0755"/>
    <w:pPr>
      <w:numPr>
        <w:numId w:val="14"/>
      </w:numPr>
      <w:spacing w:before="60"/>
    </w:pPr>
    <w:rPr>
      <w:color w:val="000000"/>
    </w:rPr>
  </w:style>
  <w:style w:type="character" w:customStyle="1" w:styleId="SubjectChar">
    <w:name w:val="Subject Char"/>
    <w:basedOn w:val="DefaultParagraphFont"/>
    <w:link w:val="Subject"/>
    <w:locked/>
    <w:rsid w:val="00DA0755"/>
    <w:rPr>
      <w:b/>
      <w:bCs/>
      <w:color w:val="FFFFFF"/>
    </w:rPr>
  </w:style>
  <w:style w:type="paragraph" w:customStyle="1" w:styleId="Subject">
    <w:name w:val="Subject"/>
    <w:basedOn w:val="Normal"/>
    <w:link w:val="SubjectChar"/>
    <w:rsid w:val="00DA0755"/>
    <w:pPr>
      <w:spacing w:before="60" w:after="60"/>
    </w:pPr>
    <w:rPr>
      <w:rFonts w:asciiTheme="minorHAnsi" w:hAnsiTheme="minorHAnsi" w:cstheme="minorBidi"/>
      <w:b/>
      <w:bCs/>
      <w:color w:val="FFFFFF"/>
      <w:sz w:val="22"/>
      <w:szCs w:val="22"/>
    </w:rPr>
  </w:style>
  <w:style w:type="character" w:customStyle="1" w:styleId="SubjectCategorytealChar">
    <w:name w:val="Subject Category (teal) Char"/>
    <w:basedOn w:val="DefaultParagraphFont"/>
    <w:link w:val="SubjectCategoryteal"/>
    <w:locked/>
    <w:rsid w:val="00DA0755"/>
    <w:rPr>
      <w:b/>
      <w:bCs/>
      <w:caps/>
      <w:color w:val="0083A2"/>
    </w:rPr>
  </w:style>
  <w:style w:type="paragraph" w:customStyle="1" w:styleId="SubjectCategoryteal">
    <w:name w:val="Subject Category (teal)"/>
    <w:basedOn w:val="Normal"/>
    <w:link w:val="SubjectCategorytealChar"/>
    <w:rsid w:val="00DA0755"/>
    <w:pPr>
      <w:spacing w:before="120" w:after="20"/>
    </w:pPr>
    <w:rPr>
      <w:rFonts w:asciiTheme="minorHAnsi" w:hAnsiTheme="minorHAnsi" w:cstheme="minorBidi"/>
      <w:b/>
      <w:bCs/>
      <w:caps/>
      <w:color w:val="0083A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26D76.E2123B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Soldier, Amy</dc:creator>
  <cp:keywords/>
  <dc:description/>
  <cp:lastModifiedBy>Carmichael, Lisa</cp:lastModifiedBy>
  <cp:revision>2</cp:revision>
  <cp:lastPrinted>2023-01-05T13:40:00Z</cp:lastPrinted>
  <dcterms:created xsi:type="dcterms:W3CDTF">2024-07-01T16:52:00Z</dcterms:created>
  <dcterms:modified xsi:type="dcterms:W3CDTF">2024-07-01T16:52:00Z</dcterms:modified>
</cp:coreProperties>
</file>