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4936"/>
        <w:gridCol w:w="4936"/>
      </w:tblGrid>
      <w:tr w:rsidR="00A24B26" w:rsidTr="00B73143">
        <w:tblPrEx>
          <w:tblCellMar>
            <w:top w:w="0" w:type="dxa"/>
            <w:bottom w:w="0" w:type="dxa"/>
          </w:tblCellMar>
        </w:tblPrEx>
        <w:trPr>
          <w:trHeight w:val="273"/>
        </w:trPr>
        <w:tc>
          <w:tcPr>
            <w:tcW w:w="4936" w:type="dxa"/>
          </w:tcPr>
          <w:p w:rsidR="00A24B26" w:rsidRDefault="00A24B26" w:rsidP="00B73143">
            <w:pPr>
              <w:pStyle w:val="Default"/>
              <w:rPr>
                <w:sz w:val="26"/>
                <w:szCs w:val="26"/>
              </w:rPr>
            </w:pPr>
            <w:r>
              <w:rPr>
                <w:sz w:val="32"/>
                <w:szCs w:val="32"/>
              </w:rPr>
              <w:t xml:space="preserve">Sputum: </w:t>
            </w:r>
            <w:r>
              <w:rPr>
                <w:b/>
                <w:bCs/>
                <w:sz w:val="26"/>
                <w:szCs w:val="26"/>
              </w:rPr>
              <w:t xml:space="preserve">Day(s) / Time(s) Performed: </w:t>
            </w:r>
          </w:p>
        </w:tc>
        <w:tc>
          <w:tcPr>
            <w:tcW w:w="4936" w:type="dxa"/>
          </w:tcPr>
          <w:p w:rsidR="00A24B26" w:rsidRDefault="00A24B26" w:rsidP="00B73143">
            <w:pPr>
              <w:pStyle w:val="Default"/>
              <w:rPr>
                <w:sz w:val="22"/>
                <w:szCs w:val="22"/>
              </w:rPr>
            </w:pPr>
            <w:r>
              <w:rPr>
                <w:rFonts w:ascii="Times New Roman" w:hAnsi="Times New Roman" w:cs="Times New Roman"/>
                <w:b/>
                <w:bCs/>
                <w:sz w:val="22"/>
                <w:szCs w:val="22"/>
              </w:rPr>
              <w:t xml:space="preserve">Monday - Friday </w:t>
            </w:r>
          </w:p>
          <w:p w:rsidR="00A24B26" w:rsidRDefault="00A24B26" w:rsidP="00B73143">
            <w:pPr>
              <w:pStyle w:val="Default"/>
              <w:rPr>
                <w:rFonts w:ascii="Times New Roman" w:hAnsi="Times New Roman" w:cs="Times New Roman"/>
                <w:sz w:val="22"/>
                <w:szCs w:val="22"/>
              </w:rPr>
            </w:pPr>
            <w:r>
              <w:rPr>
                <w:rFonts w:ascii="Times New Roman" w:hAnsi="Times New Roman" w:cs="Times New Roman"/>
                <w:b/>
                <w:bCs/>
                <w:sz w:val="22"/>
                <w:szCs w:val="22"/>
              </w:rPr>
              <w:t xml:space="preserve">8am-5pm </w:t>
            </w:r>
          </w:p>
        </w:tc>
      </w:tr>
      <w:tr w:rsidR="00A24B26" w:rsidTr="00B73143">
        <w:tblPrEx>
          <w:tblCellMar>
            <w:top w:w="0" w:type="dxa"/>
            <w:bottom w:w="0" w:type="dxa"/>
          </w:tblCellMar>
        </w:tblPrEx>
        <w:trPr>
          <w:trHeight w:val="174"/>
        </w:trPr>
        <w:tc>
          <w:tcPr>
            <w:tcW w:w="4936" w:type="dxa"/>
          </w:tcPr>
          <w:p w:rsidR="00A24B26" w:rsidRDefault="00A24B26" w:rsidP="00B73143">
            <w:pPr>
              <w:pStyle w:val="Default"/>
              <w:rPr>
                <w:sz w:val="26"/>
                <w:szCs w:val="26"/>
              </w:rPr>
            </w:pPr>
            <w:r>
              <w:rPr>
                <w:sz w:val="26"/>
                <w:szCs w:val="26"/>
              </w:rPr>
              <w:t xml:space="preserve">Turn Around Time**: </w:t>
            </w:r>
          </w:p>
        </w:tc>
        <w:tc>
          <w:tcPr>
            <w:tcW w:w="4936" w:type="dxa"/>
          </w:tcPr>
          <w:p w:rsidR="00A24B26" w:rsidRDefault="00A24B26" w:rsidP="00B73143">
            <w:pPr>
              <w:pStyle w:val="Default"/>
              <w:rPr>
                <w:sz w:val="22"/>
                <w:szCs w:val="22"/>
              </w:rPr>
            </w:pPr>
            <w:r>
              <w:rPr>
                <w:rFonts w:ascii="Times New Roman" w:hAnsi="Times New Roman" w:cs="Times New Roman"/>
                <w:sz w:val="22"/>
                <w:szCs w:val="22"/>
              </w:rPr>
              <w:t xml:space="preserve">24 hours </w:t>
            </w:r>
          </w:p>
        </w:tc>
      </w:tr>
      <w:tr w:rsidR="00A24B26" w:rsidTr="00B73143">
        <w:tblPrEx>
          <w:tblCellMar>
            <w:top w:w="0" w:type="dxa"/>
            <w:bottom w:w="0" w:type="dxa"/>
          </w:tblCellMar>
        </w:tblPrEx>
        <w:trPr>
          <w:trHeight w:val="180"/>
        </w:trPr>
        <w:tc>
          <w:tcPr>
            <w:tcW w:w="4936" w:type="dxa"/>
          </w:tcPr>
          <w:p w:rsidR="00A24B26" w:rsidRDefault="00A24B26" w:rsidP="00B73143">
            <w:pPr>
              <w:pStyle w:val="Default"/>
              <w:rPr>
                <w:sz w:val="26"/>
                <w:szCs w:val="26"/>
              </w:rPr>
            </w:pPr>
            <w:r>
              <w:rPr>
                <w:b/>
                <w:bCs/>
                <w:sz w:val="26"/>
                <w:szCs w:val="26"/>
              </w:rPr>
              <w:t xml:space="preserve">Specimen Collection Supplies: </w:t>
            </w:r>
          </w:p>
        </w:tc>
        <w:tc>
          <w:tcPr>
            <w:tcW w:w="4936" w:type="dxa"/>
          </w:tcPr>
          <w:p w:rsidR="00A24B26" w:rsidRDefault="00A24B26" w:rsidP="00B73143">
            <w:pPr>
              <w:pStyle w:val="Default"/>
              <w:rPr>
                <w:rFonts w:cs="Times New Roman"/>
                <w:color w:val="auto"/>
              </w:rPr>
            </w:pPr>
          </w:p>
          <w:p w:rsidR="00A24B26" w:rsidRDefault="00A24B26" w:rsidP="00B73143">
            <w:pPr>
              <w:pStyle w:val="Default"/>
              <w:rPr>
                <w:sz w:val="22"/>
                <w:szCs w:val="22"/>
              </w:rPr>
            </w:pPr>
            <w:r>
              <w:rPr>
                <w:sz w:val="22"/>
                <w:szCs w:val="22"/>
              </w:rPr>
              <w:t xml:space="preserve">• </w:t>
            </w:r>
            <w:r>
              <w:rPr>
                <w:rFonts w:ascii="Times New Roman" w:hAnsi="Times New Roman" w:cs="Times New Roman"/>
                <w:b/>
                <w:bCs/>
                <w:sz w:val="22"/>
                <w:szCs w:val="22"/>
              </w:rPr>
              <w:t xml:space="preserve">Specimen Collection Container </w:t>
            </w:r>
          </w:p>
          <w:p w:rsidR="00A24B26" w:rsidRDefault="00A24B26" w:rsidP="00B73143">
            <w:pPr>
              <w:pStyle w:val="Default"/>
              <w:rPr>
                <w:sz w:val="22"/>
                <w:szCs w:val="22"/>
              </w:rPr>
            </w:pPr>
          </w:p>
        </w:tc>
      </w:tr>
      <w:tr w:rsidR="00A24B26" w:rsidTr="00B73143">
        <w:tblPrEx>
          <w:tblCellMar>
            <w:top w:w="0" w:type="dxa"/>
            <w:bottom w:w="0" w:type="dxa"/>
          </w:tblCellMar>
        </w:tblPrEx>
        <w:trPr>
          <w:trHeight w:val="1535"/>
        </w:trPr>
        <w:tc>
          <w:tcPr>
            <w:tcW w:w="4936" w:type="dxa"/>
          </w:tcPr>
          <w:p w:rsidR="00A24B26" w:rsidRDefault="00A24B26" w:rsidP="00B73143">
            <w:pPr>
              <w:pStyle w:val="Default"/>
              <w:rPr>
                <w:sz w:val="26"/>
                <w:szCs w:val="26"/>
              </w:rPr>
            </w:pPr>
            <w:r>
              <w:rPr>
                <w:sz w:val="26"/>
                <w:szCs w:val="26"/>
              </w:rPr>
              <w:t xml:space="preserve">Specimen Collection: </w:t>
            </w:r>
          </w:p>
        </w:tc>
        <w:tc>
          <w:tcPr>
            <w:tcW w:w="4936" w:type="dxa"/>
          </w:tcPr>
          <w:p w:rsidR="00A24B26" w:rsidRDefault="00A24B26" w:rsidP="00B73143">
            <w:pPr>
              <w:pStyle w:val="Default"/>
              <w:rPr>
                <w:rFonts w:ascii="Times New Roman" w:hAnsi="Times New Roman" w:cs="Times New Roman"/>
                <w:sz w:val="22"/>
                <w:szCs w:val="22"/>
              </w:rPr>
            </w:pPr>
            <w:r>
              <w:rPr>
                <w:rFonts w:ascii="Times New Roman" w:hAnsi="Times New Roman" w:cs="Times New Roman"/>
                <w:sz w:val="22"/>
                <w:szCs w:val="22"/>
              </w:rPr>
              <w:t xml:space="preserve">Early morning spontaneous deep cough technique is appropriate for symptomatic patients with pulmonary disease and free airways. The patient should be given three, wide mouth, disposable, labeled containers and instructed as follows: </w:t>
            </w:r>
          </w:p>
          <w:p w:rsidR="00A24B26" w:rsidRDefault="00A24B26" w:rsidP="00B73143">
            <w:pPr>
              <w:pStyle w:val="Default"/>
              <w:rPr>
                <w:rFonts w:ascii="Times New Roman" w:hAnsi="Times New Roman" w:cs="Times New Roman"/>
                <w:sz w:val="22"/>
                <w:szCs w:val="22"/>
              </w:rPr>
            </w:pPr>
            <w:r>
              <w:rPr>
                <w:rFonts w:ascii="Times New Roman" w:hAnsi="Times New Roman" w:cs="Times New Roman"/>
                <w:sz w:val="22"/>
                <w:szCs w:val="22"/>
              </w:rPr>
              <w:t xml:space="preserve">1. For three successive mornings, upon waking, clear throat of any material that accumulated overnight and discard. </w:t>
            </w:r>
          </w:p>
          <w:p w:rsidR="00A24B26" w:rsidRDefault="00A24B26" w:rsidP="00B73143">
            <w:pPr>
              <w:pStyle w:val="Default"/>
              <w:rPr>
                <w:rFonts w:ascii="Times New Roman" w:hAnsi="Times New Roman" w:cs="Times New Roman"/>
                <w:sz w:val="22"/>
                <w:szCs w:val="22"/>
              </w:rPr>
            </w:pPr>
            <w:r>
              <w:rPr>
                <w:rFonts w:ascii="Times New Roman" w:hAnsi="Times New Roman" w:cs="Times New Roman"/>
                <w:sz w:val="22"/>
                <w:szCs w:val="22"/>
              </w:rPr>
              <w:t xml:space="preserve">2. Rinse mouth out with water several times. </w:t>
            </w:r>
          </w:p>
          <w:p w:rsidR="00A24B26" w:rsidRDefault="00A24B26" w:rsidP="00B73143">
            <w:pPr>
              <w:pStyle w:val="Default"/>
              <w:rPr>
                <w:rFonts w:ascii="Times New Roman" w:hAnsi="Times New Roman" w:cs="Times New Roman"/>
                <w:sz w:val="22"/>
                <w:szCs w:val="22"/>
              </w:rPr>
            </w:pPr>
            <w:r>
              <w:rPr>
                <w:rFonts w:ascii="Times New Roman" w:hAnsi="Times New Roman" w:cs="Times New Roman"/>
                <w:sz w:val="22"/>
                <w:szCs w:val="22"/>
              </w:rPr>
              <w:t xml:space="preserve">3. Cough deeply several times during the waking hour each morning. </w:t>
            </w:r>
          </w:p>
          <w:p w:rsidR="00A24B26" w:rsidRDefault="00A24B26" w:rsidP="00B73143">
            <w:pPr>
              <w:pStyle w:val="Default"/>
              <w:rPr>
                <w:rFonts w:ascii="Times New Roman" w:hAnsi="Times New Roman" w:cs="Times New Roman"/>
                <w:sz w:val="22"/>
                <w:szCs w:val="22"/>
              </w:rPr>
            </w:pPr>
            <w:r>
              <w:rPr>
                <w:rFonts w:ascii="Times New Roman" w:hAnsi="Times New Roman" w:cs="Times New Roman"/>
                <w:sz w:val="22"/>
                <w:szCs w:val="22"/>
              </w:rPr>
              <w:t xml:space="preserve">4. Spit whatever rises with the coughs into the specimen collection cup, using different cups each morning. </w:t>
            </w:r>
          </w:p>
          <w:p w:rsidR="00A24B26" w:rsidRDefault="00A24B26" w:rsidP="00B73143">
            <w:pPr>
              <w:pStyle w:val="Default"/>
              <w:rPr>
                <w:rFonts w:ascii="Times New Roman" w:hAnsi="Times New Roman" w:cs="Times New Roman"/>
                <w:sz w:val="22"/>
                <w:szCs w:val="22"/>
              </w:rPr>
            </w:pPr>
            <w:r>
              <w:rPr>
                <w:rFonts w:ascii="Times New Roman" w:hAnsi="Times New Roman" w:cs="Times New Roman"/>
                <w:sz w:val="22"/>
                <w:szCs w:val="22"/>
              </w:rPr>
              <w:t xml:space="preserve">5. Refrigerate containers until delivered to laboratory. </w:t>
            </w:r>
          </w:p>
          <w:p w:rsidR="00A24B26" w:rsidRDefault="00A24B26" w:rsidP="00B73143">
            <w:pPr>
              <w:pStyle w:val="Default"/>
              <w:rPr>
                <w:rFonts w:ascii="Times New Roman" w:hAnsi="Times New Roman" w:cs="Times New Roman"/>
                <w:sz w:val="22"/>
                <w:szCs w:val="22"/>
              </w:rPr>
            </w:pPr>
          </w:p>
        </w:tc>
      </w:tr>
      <w:tr w:rsidR="00A24B26" w:rsidTr="00B73143">
        <w:tblPrEx>
          <w:tblCellMar>
            <w:top w:w="0" w:type="dxa"/>
            <w:bottom w:w="0" w:type="dxa"/>
          </w:tblCellMar>
        </w:tblPrEx>
        <w:trPr>
          <w:trHeight w:val="180"/>
        </w:trPr>
        <w:tc>
          <w:tcPr>
            <w:tcW w:w="4936" w:type="dxa"/>
          </w:tcPr>
          <w:p w:rsidR="00A24B26" w:rsidRDefault="00A24B26" w:rsidP="00B73143">
            <w:pPr>
              <w:pStyle w:val="Default"/>
              <w:rPr>
                <w:sz w:val="26"/>
                <w:szCs w:val="26"/>
              </w:rPr>
            </w:pPr>
            <w:r>
              <w:rPr>
                <w:b/>
                <w:bCs/>
                <w:sz w:val="26"/>
                <w:szCs w:val="26"/>
              </w:rPr>
              <w:t xml:space="preserve">Specimen Handling: </w:t>
            </w:r>
          </w:p>
        </w:tc>
        <w:tc>
          <w:tcPr>
            <w:tcW w:w="4936" w:type="dxa"/>
          </w:tcPr>
          <w:p w:rsidR="00A24B26" w:rsidRDefault="00A24B26" w:rsidP="00B73143">
            <w:pPr>
              <w:pStyle w:val="Default"/>
              <w:rPr>
                <w:sz w:val="22"/>
                <w:szCs w:val="22"/>
              </w:rPr>
            </w:pPr>
            <w:r>
              <w:rPr>
                <w:rFonts w:ascii="Times New Roman" w:hAnsi="Times New Roman" w:cs="Times New Roman"/>
                <w:b/>
                <w:bCs/>
                <w:sz w:val="22"/>
                <w:szCs w:val="22"/>
              </w:rPr>
              <w:t xml:space="preserve">Refrigerated </w:t>
            </w:r>
          </w:p>
        </w:tc>
      </w:tr>
      <w:tr w:rsidR="00A24B26" w:rsidTr="00B73143">
        <w:tblPrEx>
          <w:tblCellMar>
            <w:top w:w="0" w:type="dxa"/>
            <w:bottom w:w="0" w:type="dxa"/>
          </w:tblCellMar>
        </w:tblPrEx>
        <w:trPr>
          <w:trHeight w:val="545"/>
        </w:trPr>
        <w:tc>
          <w:tcPr>
            <w:tcW w:w="4936" w:type="dxa"/>
          </w:tcPr>
          <w:p w:rsidR="00A24B26" w:rsidRDefault="00A24B26" w:rsidP="00B73143">
            <w:pPr>
              <w:pStyle w:val="Default"/>
              <w:rPr>
                <w:sz w:val="26"/>
                <w:szCs w:val="26"/>
              </w:rPr>
            </w:pPr>
            <w:r>
              <w:rPr>
                <w:sz w:val="26"/>
                <w:szCs w:val="26"/>
              </w:rPr>
              <w:t xml:space="preserve">Specimen Requirements: </w:t>
            </w:r>
          </w:p>
        </w:tc>
        <w:tc>
          <w:tcPr>
            <w:tcW w:w="4936" w:type="dxa"/>
          </w:tcPr>
          <w:p w:rsidR="00A24B26" w:rsidRDefault="00A24B26" w:rsidP="00B73143">
            <w:pPr>
              <w:pStyle w:val="Default"/>
              <w:rPr>
                <w:rFonts w:cs="Times New Roman"/>
                <w:color w:val="auto"/>
              </w:rPr>
            </w:pPr>
          </w:p>
          <w:p w:rsidR="00A24B26" w:rsidRDefault="00A24B26" w:rsidP="00B73143">
            <w:pPr>
              <w:pStyle w:val="Default"/>
              <w:rPr>
                <w:sz w:val="22"/>
                <w:szCs w:val="22"/>
              </w:rPr>
            </w:pPr>
            <w:r>
              <w:rPr>
                <w:sz w:val="22"/>
                <w:szCs w:val="22"/>
              </w:rPr>
              <w:t xml:space="preserve">• </w:t>
            </w:r>
            <w:r>
              <w:rPr>
                <w:rFonts w:ascii="Times New Roman" w:hAnsi="Times New Roman" w:cs="Times New Roman"/>
                <w:sz w:val="22"/>
                <w:szCs w:val="22"/>
              </w:rPr>
              <w:t xml:space="preserve">Labeled with two (2) patient identifiers </w:t>
            </w:r>
          </w:p>
          <w:p w:rsidR="00A24B26" w:rsidRDefault="00A24B26" w:rsidP="00B73143">
            <w:pPr>
              <w:pStyle w:val="Defaul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Completed cytology specimen requisition </w:t>
            </w:r>
          </w:p>
          <w:p w:rsidR="00A24B26" w:rsidRDefault="00A24B26" w:rsidP="00B73143">
            <w:pPr>
              <w:pStyle w:val="Defaul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All specimens should be placed in a secondary “Biohazard Safety Bag”. </w:t>
            </w:r>
          </w:p>
          <w:p w:rsidR="00A24B26" w:rsidRDefault="00A24B26" w:rsidP="00B73143">
            <w:pPr>
              <w:pStyle w:val="Default"/>
              <w:rPr>
                <w:rFonts w:ascii="Times New Roman" w:hAnsi="Times New Roman" w:cs="Times New Roman"/>
                <w:sz w:val="22"/>
                <w:szCs w:val="22"/>
              </w:rPr>
            </w:pPr>
          </w:p>
        </w:tc>
      </w:tr>
      <w:tr w:rsidR="00A24B26" w:rsidTr="00B73143">
        <w:tblPrEx>
          <w:tblCellMar>
            <w:top w:w="0" w:type="dxa"/>
            <w:bottom w:w="0" w:type="dxa"/>
          </w:tblCellMar>
        </w:tblPrEx>
        <w:trPr>
          <w:trHeight w:val="180"/>
        </w:trPr>
        <w:tc>
          <w:tcPr>
            <w:tcW w:w="4936" w:type="dxa"/>
          </w:tcPr>
          <w:p w:rsidR="00A24B26" w:rsidRDefault="00A24B26" w:rsidP="00B73143">
            <w:pPr>
              <w:pStyle w:val="Default"/>
              <w:rPr>
                <w:sz w:val="26"/>
                <w:szCs w:val="26"/>
              </w:rPr>
            </w:pPr>
            <w:r>
              <w:rPr>
                <w:b/>
                <w:bCs/>
                <w:sz w:val="26"/>
                <w:szCs w:val="26"/>
              </w:rPr>
              <w:t xml:space="preserve">Transportation: </w:t>
            </w:r>
          </w:p>
        </w:tc>
        <w:tc>
          <w:tcPr>
            <w:tcW w:w="4936" w:type="dxa"/>
          </w:tcPr>
          <w:p w:rsidR="00A24B26" w:rsidRDefault="00A24B26" w:rsidP="00B73143">
            <w:pPr>
              <w:pStyle w:val="Default"/>
              <w:rPr>
                <w:sz w:val="22"/>
                <w:szCs w:val="22"/>
              </w:rPr>
            </w:pPr>
            <w:r>
              <w:rPr>
                <w:rFonts w:ascii="Times New Roman" w:hAnsi="Times New Roman" w:cs="Times New Roman"/>
                <w:b/>
                <w:bCs/>
                <w:sz w:val="22"/>
                <w:szCs w:val="22"/>
              </w:rPr>
              <w:t>As Soon As Possible Deliver / Send to Laboratory or Teton Pathology</w:t>
            </w:r>
          </w:p>
        </w:tc>
      </w:tr>
      <w:tr w:rsidR="00A24B26" w:rsidTr="00B73143">
        <w:tblPrEx>
          <w:tblCellMar>
            <w:top w:w="0" w:type="dxa"/>
            <w:bottom w:w="0" w:type="dxa"/>
          </w:tblCellMar>
        </w:tblPrEx>
        <w:trPr>
          <w:trHeight w:val="526"/>
        </w:trPr>
        <w:tc>
          <w:tcPr>
            <w:tcW w:w="4936" w:type="dxa"/>
          </w:tcPr>
          <w:p w:rsidR="00A24B26" w:rsidRDefault="00A24B26" w:rsidP="00B73143">
            <w:pPr>
              <w:pStyle w:val="Default"/>
              <w:rPr>
                <w:sz w:val="26"/>
                <w:szCs w:val="26"/>
              </w:rPr>
            </w:pPr>
            <w:r>
              <w:rPr>
                <w:sz w:val="26"/>
                <w:szCs w:val="26"/>
              </w:rPr>
              <w:t xml:space="preserve">Comment/Special Instruction: </w:t>
            </w:r>
          </w:p>
        </w:tc>
        <w:tc>
          <w:tcPr>
            <w:tcW w:w="4936" w:type="dxa"/>
          </w:tcPr>
          <w:p w:rsidR="00A24B26" w:rsidRDefault="00A24B26" w:rsidP="00B73143">
            <w:pPr>
              <w:pStyle w:val="Default"/>
              <w:rPr>
                <w:rFonts w:ascii="Times New Roman" w:hAnsi="Times New Roman" w:cs="Times New Roman"/>
                <w:sz w:val="22"/>
                <w:szCs w:val="22"/>
              </w:rPr>
            </w:pPr>
            <w:r>
              <w:rPr>
                <w:rFonts w:ascii="Times New Roman" w:hAnsi="Times New Roman" w:cs="Times New Roman"/>
                <w:sz w:val="22"/>
                <w:szCs w:val="22"/>
              </w:rPr>
              <w:t xml:space="preserve">Three consecutive early morning specimen's increase they yield of malignant cells. </w:t>
            </w:r>
          </w:p>
          <w:p w:rsidR="00A24B26" w:rsidRDefault="00A24B26" w:rsidP="00B73143">
            <w:pPr>
              <w:pStyle w:val="Default"/>
              <w:rPr>
                <w:rFonts w:ascii="Times New Roman" w:hAnsi="Times New Roman" w:cs="Times New Roman"/>
                <w:sz w:val="22"/>
                <w:szCs w:val="22"/>
              </w:rPr>
            </w:pPr>
            <w:r>
              <w:rPr>
                <w:rFonts w:ascii="Times New Roman" w:hAnsi="Times New Roman" w:cs="Times New Roman"/>
                <w:b/>
                <w:bCs/>
                <w:sz w:val="22"/>
                <w:szCs w:val="22"/>
              </w:rPr>
              <w:t xml:space="preserve">Do not use formalin as a fixative </w:t>
            </w:r>
          </w:p>
        </w:tc>
      </w:tr>
      <w:tr w:rsidR="00A24B26" w:rsidTr="00B73143">
        <w:tblPrEx>
          <w:tblCellMar>
            <w:top w:w="0" w:type="dxa"/>
            <w:bottom w:w="0" w:type="dxa"/>
          </w:tblCellMar>
        </w:tblPrEx>
        <w:trPr>
          <w:trHeight w:val="423"/>
        </w:trPr>
        <w:tc>
          <w:tcPr>
            <w:tcW w:w="4936" w:type="dxa"/>
          </w:tcPr>
          <w:p w:rsidR="00A24B26" w:rsidRDefault="00A24B26" w:rsidP="00B73143">
            <w:pPr>
              <w:pStyle w:val="Default"/>
              <w:rPr>
                <w:sz w:val="26"/>
                <w:szCs w:val="26"/>
              </w:rPr>
            </w:pPr>
            <w:r>
              <w:rPr>
                <w:b/>
                <w:bCs/>
                <w:sz w:val="26"/>
                <w:szCs w:val="26"/>
              </w:rPr>
              <w:t xml:space="preserve">Rejection Criteria: </w:t>
            </w:r>
          </w:p>
        </w:tc>
        <w:tc>
          <w:tcPr>
            <w:tcW w:w="4936" w:type="dxa"/>
          </w:tcPr>
          <w:p w:rsidR="00A24B26" w:rsidRDefault="00A24B26" w:rsidP="00B73143">
            <w:pPr>
              <w:pStyle w:val="Default"/>
              <w:rPr>
                <w:rFonts w:cs="Times New Roman"/>
                <w:color w:val="auto"/>
              </w:rPr>
            </w:pPr>
          </w:p>
          <w:p w:rsidR="00A24B26" w:rsidRDefault="00A24B26" w:rsidP="00B73143">
            <w:pPr>
              <w:pStyle w:val="Default"/>
              <w:rPr>
                <w:sz w:val="22"/>
                <w:szCs w:val="22"/>
              </w:rPr>
            </w:pPr>
            <w:r>
              <w:rPr>
                <w:sz w:val="22"/>
                <w:szCs w:val="22"/>
              </w:rPr>
              <w:t xml:space="preserve">• </w:t>
            </w:r>
            <w:r>
              <w:rPr>
                <w:rFonts w:ascii="Times New Roman" w:hAnsi="Times New Roman" w:cs="Times New Roman"/>
                <w:b/>
                <w:bCs/>
                <w:sz w:val="22"/>
                <w:szCs w:val="22"/>
              </w:rPr>
              <w:t xml:space="preserve">Inadequate information / missing requisition </w:t>
            </w:r>
          </w:p>
          <w:p w:rsidR="00A24B26" w:rsidRDefault="00A24B26" w:rsidP="00B73143">
            <w:pPr>
              <w:pStyle w:val="Default"/>
              <w:rPr>
                <w:rFonts w:ascii="Times New Roman" w:hAnsi="Times New Roman" w:cs="Times New Roman"/>
                <w:sz w:val="22"/>
                <w:szCs w:val="22"/>
              </w:rPr>
            </w:pPr>
            <w:r>
              <w:rPr>
                <w:sz w:val="22"/>
                <w:szCs w:val="22"/>
              </w:rPr>
              <w:t xml:space="preserve">• </w:t>
            </w:r>
            <w:r>
              <w:rPr>
                <w:rFonts w:ascii="Times New Roman" w:hAnsi="Times New Roman" w:cs="Times New Roman"/>
                <w:b/>
                <w:bCs/>
                <w:sz w:val="22"/>
                <w:szCs w:val="22"/>
              </w:rPr>
              <w:t xml:space="preserve">Unlabeled / Mislabeled Specimen </w:t>
            </w:r>
          </w:p>
          <w:p w:rsidR="00A24B26" w:rsidRDefault="00A24B26" w:rsidP="00B73143">
            <w:pPr>
              <w:pStyle w:val="Default"/>
              <w:rPr>
                <w:rFonts w:ascii="Times New Roman" w:hAnsi="Times New Roman" w:cs="Times New Roman"/>
                <w:sz w:val="22"/>
                <w:szCs w:val="22"/>
              </w:rPr>
            </w:pPr>
            <w:r>
              <w:rPr>
                <w:sz w:val="22"/>
                <w:szCs w:val="22"/>
              </w:rPr>
              <w:t xml:space="preserve">• </w:t>
            </w:r>
            <w:r>
              <w:rPr>
                <w:rFonts w:ascii="Times New Roman" w:hAnsi="Times New Roman" w:cs="Times New Roman"/>
                <w:b/>
                <w:bCs/>
                <w:sz w:val="22"/>
                <w:szCs w:val="22"/>
              </w:rPr>
              <w:t xml:space="preserve">Specimen received in inappropriate fixative </w:t>
            </w:r>
          </w:p>
          <w:p w:rsidR="00A24B26" w:rsidRDefault="00A24B26" w:rsidP="00B73143">
            <w:pPr>
              <w:pStyle w:val="Default"/>
              <w:rPr>
                <w:rFonts w:ascii="Times New Roman" w:hAnsi="Times New Roman" w:cs="Times New Roman"/>
                <w:sz w:val="22"/>
                <w:szCs w:val="22"/>
              </w:rPr>
            </w:pPr>
          </w:p>
        </w:tc>
      </w:tr>
      <w:tr w:rsidR="00A24B26" w:rsidTr="00B73143">
        <w:tblPrEx>
          <w:tblCellMar>
            <w:top w:w="0" w:type="dxa"/>
            <w:bottom w:w="0" w:type="dxa"/>
          </w:tblCellMar>
        </w:tblPrEx>
        <w:trPr>
          <w:trHeight w:val="174"/>
        </w:trPr>
        <w:tc>
          <w:tcPr>
            <w:tcW w:w="4936" w:type="dxa"/>
          </w:tcPr>
          <w:p w:rsidR="00A24B26" w:rsidRDefault="00A24B26" w:rsidP="00B73143">
            <w:pPr>
              <w:pStyle w:val="Default"/>
              <w:rPr>
                <w:sz w:val="26"/>
                <w:szCs w:val="26"/>
              </w:rPr>
            </w:pPr>
            <w:r>
              <w:rPr>
                <w:sz w:val="26"/>
                <w:szCs w:val="26"/>
              </w:rPr>
              <w:t xml:space="preserve">Retention Time of Specimen: </w:t>
            </w:r>
          </w:p>
        </w:tc>
        <w:tc>
          <w:tcPr>
            <w:tcW w:w="4936" w:type="dxa"/>
          </w:tcPr>
          <w:p w:rsidR="00A24B26" w:rsidRDefault="00A24B26" w:rsidP="00B73143">
            <w:pPr>
              <w:pStyle w:val="Default"/>
              <w:rPr>
                <w:sz w:val="22"/>
                <w:szCs w:val="22"/>
              </w:rPr>
            </w:pPr>
            <w:r>
              <w:rPr>
                <w:rFonts w:ascii="Times New Roman" w:hAnsi="Times New Roman" w:cs="Times New Roman"/>
                <w:sz w:val="22"/>
                <w:szCs w:val="22"/>
              </w:rPr>
              <w:t xml:space="preserve">One (1) Week After Final Report is Issued </w:t>
            </w:r>
          </w:p>
        </w:tc>
      </w:tr>
      <w:tr w:rsidR="00A24B26" w:rsidTr="00B73143">
        <w:tblPrEx>
          <w:tblCellMar>
            <w:top w:w="0" w:type="dxa"/>
            <w:bottom w:w="0" w:type="dxa"/>
          </w:tblCellMar>
        </w:tblPrEx>
        <w:trPr>
          <w:trHeight w:val="180"/>
        </w:trPr>
        <w:tc>
          <w:tcPr>
            <w:tcW w:w="4936" w:type="dxa"/>
          </w:tcPr>
          <w:p w:rsidR="00A24B26" w:rsidRDefault="00A24B26" w:rsidP="00B73143">
            <w:pPr>
              <w:pStyle w:val="Default"/>
              <w:rPr>
                <w:sz w:val="26"/>
                <w:szCs w:val="26"/>
              </w:rPr>
            </w:pPr>
            <w:r>
              <w:rPr>
                <w:b/>
                <w:bCs/>
                <w:sz w:val="26"/>
                <w:szCs w:val="26"/>
              </w:rPr>
              <w:t xml:space="preserve">Laboratory Testing Performed: </w:t>
            </w:r>
          </w:p>
        </w:tc>
        <w:tc>
          <w:tcPr>
            <w:tcW w:w="4936" w:type="dxa"/>
          </w:tcPr>
          <w:p w:rsidR="00A24B26" w:rsidRDefault="00A24B26" w:rsidP="00B73143">
            <w:pPr>
              <w:pStyle w:val="Default"/>
              <w:rPr>
                <w:sz w:val="22"/>
                <w:szCs w:val="22"/>
              </w:rPr>
            </w:pPr>
            <w:proofErr w:type="spellStart"/>
            <w:r>
              <w:rPr>
                <w:rFonts w:ascii="Times New Roman" w:hAnsi="Times New Roman" w:cs="Times New Roman"/>
                <w:b/>
                <w:bCs/>
                <w:sz w:val="22"/>
                <w:szCs w:val="22"/>
              </w:rPr>
              <w:t>Cytopathology</w:t>
            </w:r>
            <w:proofErr w:type="spellEnd"/>
            <w:r>
              <w:rPr>
                <w:rFonts w:ascii="Times New Roman" w:hAnsi="Times New Roman" w:cs="Times New Roman"/>
                <w:b/>
                <w:bCs/>
                <w:sz w:val="22"/>
                <w:szCs w:val="22"/>
              </w:rPr>
              <w:t xml:space="preserve"> – Teton Pathology</w:t>
            </w:r>
          </w:p>
        </w:tc>
      </w:tr>
    </w:tbl>
    <w:p w:rsidR="007B3E0C" w:rsidRDefault="007B3E0C"/>
    <w:sectPr w:rsidR="007B3E0C" w:rsidSect="007B3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A24B26"/>
    <w:rsid w:val="007B3E0C"/>
    <w:rsid w:val="00A24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B2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Company>Hewlett-Packard Company</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tward</dc:creator>
  <cp:lastModifiedBy>tward</cp:lastModifiedBy>
  <cp:revision>1</cp:revision>
  <dcterms:created xsi:type="dcterms:W3CDTF">2015-09-30T16:21:00Z</dcterms:created>
  <dcterms:modified xsi:type="dcterms:W3CDTF">2015-09-30T16:21:00Z</dcterms:modified>
</cp:coreProperties>
</file>