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0F4E72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Human </w:t>
            </w:r>
            <w:proofErr w:type="spellStart"/>
            <w:r>
              <w:rPr>
                <w:sz w:val="32"/>
                <w:szCs w:val="32"/>
              </w:rPr>
              <w:t>Papilloma</w:t>
            </w:r>
            <w:proofErr w:type="spellEnd"/>
            <w:r>
              <w:rPr>
                <w:sz w:val="32"/>
                <w:szCs w:val="32"/>
              </w:rPr>
              <w:t xml:space="preserve"> Virus </w:t>
            </w:r>
            <w:r>
              <w:rPr>
                <w:sz w:val="26"/>
                <w:szCs w:val="26"/>
              </w:rPr>
              <w:t xml:space="preserve">(GYN in </w:t>
            </w:r>
            <w:proofErr w:type="spellStart"/>
            <w:r>
              <w:rPr>
                <w:sz w:val="26"/>
                <w:szCs w:val="26"/>
              </w:rPr>
              <w:t>ThinPrep</w:t>
            </w:r>
            <w:proofErr w:type="spellEnd"/>
            <w:r>
              <w:rPr>
                <w:sz w:val="26"/>
                <w:szCs w:val="26"/>
              </w:rPr>
              <w:t xml:space="preserve"> Media)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M_F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Two weeks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Vial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Plastic Spatula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brush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Requistion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For Conventional Smear: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Glass Slide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95% Ethanol Fixative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Collection Container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Label vial with two patient identifiers.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Obtain adequate sample from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canal using plastic spatula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brush.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Rinse vigorously 10 times in solution to remove any residual sample from spatula and brush.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Discard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spatual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brush.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Tighten cap ensuring black lines are aligned.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conventional smear is desired, label glass slide and immediately place into 95% Ethanol fixative. Label fixative container, mark appropriate boxes on requisition, and place both in bag for transportation to laboratory.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Molecular Specimen Requisition </w:t>
            </w:r>
          </w:p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Soon As Possible Deliver / Send to Teton Pathology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This test can be ordered Regardless or Reflexive to Pap results.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Genotyping1 (27 types) available reflexive to positive HPV Screen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Incorrect Information / Missing Requisition </w:t>
            </w:r>
          </w:p>
          <w:p w:rsidR="000F4E72" w:rsidRDefault="000F4E72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Incorrect or Expired Collection Media </w:t>
            </w:r>
          </w:p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Three (3) Months </w:t>
            </w:r>
          </w:p>
        </w:tc>
      </w:tr>
      <w:tr w:rsidR="000F4E72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0F4E72" w:rsidRDefault="000F4E72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Teton Pathology through KPC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0F4E72"/>
    <w:rsid w:val="000F4E72"/>
    <w:rsid w:val="007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4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2015-09-30T16:26:00Z</dcterms:created>
  <dcterms:modified xsi:type="dcterms:W3CDTF">2015-09-30T16:26:00Z</dcterms:modified>
</cp:coreProperties>
</file>