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left w:val="nil"/>
          <w:bottom w:val="nil"/>
          <w:right w:val="nil"/>
        </w:tblBorders>
        <w:tblLayout w:type="fixed"/>
        <w:tblLook w:val="0000"/>
      </w:tblPr>
      <w:tblGrid>
        <w:gridCol w:w="4936"/>
        <w:gridCol w:w="4936"/>
      </w:tblGrid>
      <w:tr w:rsidR="001E6A3C" w:rsidTr="00B73143">
        <w:tblPrEx>
          <w:tblCellMar>
            <w:top w:w="0" w:type="dxa"/>
            <w:bottom w:w="0" w:type="dxa"/>
          </w:tblCellMar>
        </w:tblPrEx>
        <w:trPr>
          <w:trHeight w:val="273"/>
        </w:trPr>
        <w:tc>
          <w:tcPr>
            <w:tcW w:w="4936" w:type="dxa"/>
          </w:tcPr>
          <w:p w:rsidR="001E6A3C" w:rsidRDefault="001E6A3C" w:rsidP="00B73143">
            <w:pPr>
              <w:pStyle w:val="Default"/>
              <w:rPr>
                <w:sz w:val="26"/>
                <w:szCs w:val="26"/>
              </w:rPr>
            </w:pPr>
            <w:r>
              <w:rPr>
                <w:sz w:val="32"/>
                <w:szCs w:val="32"/>
              </w:rPr>
              <w:t xml:space="preserve">Bronchial Washing: </w:t>
            </w:r>
            <w:r>
              <w:rPr>
                <w:b/>
                <w:bCs/>
                <w:sz w:val="26"/>
                <w:szCs w:val="26"/>
              </w:rPr>
              <w:t xml:space="preserve">Day(s) / Time(s) Performed: </w:t>
            </w:r>
          </w:p>
        </w:tc>
        <w:tc>
          <w:tcPr>
            <w:tcW w:w="4936" w:type="dxa"/>
          </w:tcPr>
          <w:p w:rsidR="001E6A3C" w:rsidRDefault="001E6A3C" w:rsidP="00B73143">
            <w:pPr>
              <w:pStyle w:val="Default"/>
              <w:rPr>
                <w:sz w:val="22"/>
                <w:szCs w:val="22"/>
              </w:rPr>
            </w:pPr>
            <w:r>
              <w:rPr>
                <w:rFonts w:ascii="Times New Roman" w:hAnsi="Times New Roman" w:cs="Times New Roman"/>
                <w:b/>
                <w:bCs/>
                <w:sz w:val="22"/>
                <w:szCs w:val="22"/>
              </w:rPr>
              <w:t xml:space="preserve">Monday - Friday </w:t>
            </w:r>
          </w:p>
          <w:p w:rsidR="001E6A3C" w:rsidRDefault="001E6A3C" w:rsidP="00B73143">
            <w:pPr>
              <w:pStyle w:val="Default"/>
              <w:rPr>
                <w:sz w:val="22"/>
                <w:szCs w:val="22"/>
              </w:rPr>
            </w:pPr>
            <w:r>
              <w:rPr>
                <w:rFonts w:ascii="Times New Roman" w:hAnsi="Times New Roman" w:cs="Times New Roman"/>
                <w:b/>
                <w:bCs/>
                <w:sz w:val="22"/>
                <w:szCs w:val="22"/>
              </w:rPr>
              <w:t xml:space="preserve">8am-5pm </w:t>
            </w:r>
          </w:p>
        </w:tc>
      </w:tr>
      <w:tr w:rsidR="001E6A3C" w:rsidTr="00B73143">
        <w:tblPrEx>
          <w:tblCellMar>
            <w:top w:w="0" w:type="dxa"/>
            <w:bottom w:w="0" w:type="dxa"/>
          </w:tblCellMar>
        </w:tblPrEx>
        <w:trPr>
          <w:trHeight w:val="174"/>
        </w:trPr>
        <w:tc>
          <w:tcPr>
            <w:tcW w:w="4936" w:type="dxa"/>
          </w:tcPr>
          <w:p w:rsidR="001E6A3C" w:rsidRDefault="001E6A3C" w:rsidP="00B73143">
            <w:pPr>
              <w:pStyle w:val="Default"/>
              <w:rPr>
                <w:sz w:val="26"/>
                <w:szCs w:val="26"/>
              </w:rPr>
            </w:pPr>
            <w:r>
              <w:rPr>
                <w:sz w:val="26"/>
                <w:szCs w:val="26"/>
              </w:rPr>
              <w:t xml:space="preserve">Turn Around Time**: </w:t>
            </w:r>
          </w:p>
        </w:tc>
        <w:tc>
          <w:tcPr>
            <w:tcW w:w="4936" w:type="dxa"/>
          </w:tcPr>
          <w:p w:rsidR="001E6A3C" w:rsidRDefault="001E6A3C" w:rsidP="00B73143">
            <w:pPr>
              <w:pStyle w:val="Default"/>
              <w:rPr>
                <w:sz w:val="22"/>
                <w:szCs w:val="22"/>
              </w:rPr>
            </w:pPr>
            <w:r>
              <w:rPr>
                <w:rFonts w:ascii="Times New Roman" w:hAnsi="Times New Roman" w:cs="Times New Roman"/>
                <w:sz w:val="22"/>
                <w:szCs w:val="22"/>
              </w:rPr>
              <w:t xml:space="preserve">24 hours </w:t>
            </w:r>
          </w:p>
        </w:tc>
      </w:tr>
      <w:tr w:rsidR="001E6A3C" w:rsidTr="00B73143">
        <w:tblPrEx>
          <w:tblCellMar>
            <w:top w:w="0" w:type="dxa"/>
            <w:bottom w:w="0" w:type="dxa"/>
          </w:tblCellMar>
        </w:tblPrEx>
        <w:trPr>
          <w:trHeight w:val="180"/>
        </w:trPr>
        <w:tc>
          <w:tcPr>
            <w:tcW w:w="4936" w:type="dxa"/>
          </w:tcPr>
          <w:p w:rsidR="001E6A3C" w:rsidRDefault="001E6A3C" w:rsidP="00B73143">
            <w:pPr>
              <w:pStyle w:val="Default"/>
              <w:rPr>
                <w:sz w:val="26"/>
                <w:szCs w:val="26"/>
              </w:rPr>
            </w:pPr>
            <w:r>
              <w:rPr>
                <w:b/>
                <w:bCs/>
                <w:sz w:val="26"/>
                <w:szCs w:val="26"/>
              </w:rPr>
              <w:t xml:space="preserve">Specimen Collection Supplies: </w:t>
            </w:r>
          </w:p>
        </w:tc>
        <w:tc>
          <w:tcPr>
            <w:tcW w:w="4936" w:type="dxa"/>
          </w:tcPr>
          <w:p w:rsidR="001E6A3C" w:rsidRDefault="001E6A3C" w:rsidP="00B73143">
            <w:pPr>
              <w:pStyle w:val="Default"/>
              <w:rPr>
                <w:sz w:val="22"/>
                <w:szCs w:val="22"/>
              </w:rPr>
            </w:pPr>
            <w:r>
              <w:rPr>
                <w:sz w:val="22"/>
                <w:szCs w:val="22"/>
              </w:rPr>
              <w:t xml:space="preserve"> </w:t>
            </w:r>
            <w:r>
              <w:rPr>
                <w:rFonts w:ascii="Times New Roman" w:hAnsi="Times New Roman" w:cs="Times New Roman"/>
                <w:b/>
                <w:bCs/>
                <w:sz w:val="22"/>
                <w:szCs w:val="22"/>
              </w:rPr>
              <w:t xml:space="preserve">Specimen Collection Container </w:t>
            </w:r>
          </w:p>
          <w:p w:rsidR="001E6A3C" w:rsidRDefault="001E6A3C" w:rsidP="00B73143">
            <w:pPr>
              <w:pStyle w:val="Default"/>
              <w:rPr>
                <w:sz w:val="22"/>
                <w:szCs w:val="22"/>
              </w:rPr>
            </w:pPr>
          </w:p>
        </w:tc>
      </w:tr>
      <w:tr w:rsidR="001E6A3C" w:rsidTr="00B73143">
        <w:tblPrEx>
          <w:tblCellMar>
            <w:top w:w="0" w:type="dxa"/>
            <w:bottom w:w="0" w:type="dxa"/>
          </w:tblCellMar>
        </w:tblPrEx>
        <w:trPr>
          <w:trHeight w:val="1663"/>
        </w:trPr>
        <w:tc>
          <w:tcPr>
            <w:tcW w:w="4936" w:type="dxa"/>
          </w:tcPr>
          <w:p w:rsidR="001E6A3C" w:rsidRDefault="001E6A3C" w:rsidP="00B73143">
            <w:pPr>
              <w:pStyle w:val="Default"/>
              <w:rPr>
                <w:sz w:val="26"/>
                <w:szCs w:val="26"/>
              </w:rPr>
            </w:pPr>
            <w:r>
              <w:rPr>
                <w:sz w:val="26"/>
                <w:szCs w:val="26"/>
              </w:rPr>
              <w:t xml:space="preserve">Specimen Collection: </w:t>
            </w:r>
          </w:p>
        </w:tc>
        <w:tc>
          <w:tcPr>
            <w:tcW w:w="4936" w:type="dxa"/>
          </w:tcPr>
          <w:p w:rsidR="001E6A3C" w:rsidRDefault="001E6A3C" w:rsidP="00B73143">
            <w:pPr>
              <w:pStyle w:val="Default"/>
              <w:rPr>
                <w:rFonts w:ascii="Times New Roman" w:hAnsi="Times New Roman" w:cs="Times New Roman"/>
                <w:sz w:val="22"/>
                <w:szCs w:val="22"/>
              </w:rPr>
            </w:pPr>
            <w:r>
              <w:rPr>
                <w:rFonts w:ascii="Times New Roman" w:hAnsi="Times New Roman" w:cs="Times New Roman"/>
                <w:sz w:val="22"/>
                <w:szCs w:val="22"/>
              </w:rPr>
              <w:t xml:space="preserve">During a </w:t>
            </w:r>
            <w:proofErr w:type="spellStart"/>
            <w:r>
              <w:rPr>
                <w:rFonts w:ascii="Times New Roman" w:hAnsi="Times New Roman" w:cs="Times New Roman"/>
                <w:sz w:val="22"/>
                <w:szCs w:val="22"/>
              </w:rPr>
              <w:t>bronchoscopy</w:t>
            </w:r>
            <w:proofErr w:type="spellEnd"/>
            <w:r>
              <w:rPr>
                <w:rFonts w:ascii="Times New Roman" w:hAnsi="Times New Roman" w:cs="Times New Roman"/>
                <w:sz w:val="22"/>
                <w:szCs w:val="22"/>
              </w:rPr>
              <w:t xml:space="preserve">, washings are obtained after the insertion of about 10 ml of physiological saline. This is instilled in small portions of 2-3ml at a time and collected in a tube connected as a trap in the vacuum line, via the bronchoscope while the patient coughs. The flexible tip of the scope may be directed towards the opening of the smaller bronchioles and several areas sampled. Additional material may be obtained by rinsing the bronchoscope after withdrawal. In order to localize the lesion, separate bronchoscopes must be used for each lobe in question. </w:t>
            </w:r>
          </w:p>
          <w:p w:rsidR="001E6A3C" w:rsidRDefault="001E6A3C" w:rsidP="00B73143">
            <w:pPr>
              <w:pStyle w:val="Default"/>
              <w:rPr>
                <w:rFonts w:ascii="Times New Roman" w:hAnsi="Times New Roman" w:cs="Times New Roman"/>
                <w:sz w:val="22"/>
                <w:szCs w:val="22"/>
              </w:rPr>
            </w:pPr>
            <w:r>
              <w:rPr>
                <w:rFonts w:ascii="Times New Roman" w:hAnsi="Times New Roman" w:cs="Times New Roman"/>
                <w:sz w:val="22"/>
                <w:szCs w:val="22"/>
              </w:rPr>
              <w:t xml:space="preserve">The diluted </w:t>
            </w:r>
            <w:proofErr w:type="spellStart"/>
            <w:r>
              <w:rPr>
                <w:rFonts w:ascii="Times New Roman" w:hAnsi="Times New Roman" w:cs="Times New Roman"/>
                <w:sz w:val="22"/>
                <w:szCs w:val="22"/>
              </w:rPr>
              <w:t>lavage</w:t>
            </w:r>
            <w:proofErr w:type="spellEnd"/>
            <w:r>
              <w:rPr>
                <w:rFonts w:ascii="Times New Roman" w:hAnsi="Times New Roman" w:cs="Times New Roman"/>
                <w:sz w:val="22"/>
                <w:szCs w:val="22"/>
              </w:rPr>
              <w:t xml:space="preserve"> or wash is sent immediately to the lab for processing, in the capped collection tube. </w:t>
            </w:r>
          </w:p>
        </w:tc>
      </w:tr>
      <w:tr w:rsidR="001E6A3C" w:rsidTr="00B73143">
        <w:tblPrEx>
          <w:tblCellMar>
            <w:top w:w="0" w:type="dxa"/>
            <w:bottom w:w="0" w:type="dxa"/>
          </w:tblCellMar>
        </w:tblPrEx>
        <w:trPr>
          <w:trHeight w:val="907"/>
        </w:trPr>
        <w:tc>
          <w:tcPr>
            <w:tcW w:w="4936" w:type="dxa"/>
          </w:tcPr>
          <w:p w:rsidR="001E6A3C" w:rsidRDefault="001E6A3C" w:rsidP="00B73143">
            <w:pPr>
              <w:pStyle w:val="Default"/>
              <w:rPr>
                <w:sz w:val="26"/>
                <w:szCs w:val="26"/>
              </w:rPr>
            </w:pPr>
            <w:r>
              <w:rPr>
                <w:b/>
                <w:bCs/>
                <w:sz w:val="26"/>
                <w:szCs w:val="26"/>
              </w:rPr>
              <w:t xml:space="preserve">Specimen Handling: </w:t>
            </w:r>
          </w:p>
        </w:tc>
        <w:tc>
          <w:tcPr>
            <w:tcW w:w="4936" w:type="dxa"/>
          </w:tcPr>
          <w:p w:rsidR="001E6A3C" w:rsidRDefault="001E6A3C" w:rsidP="00B73143">
            <w:pPr>
              <w:pStyle w:val="Default"/>
              <w:rPr>
                <w:rFonts w:ascii="Times New Roman" w:hAnsi="Times New Roman" w:cs="Times New Roman"/>
                <w:sz w:val="22"/>
                <w:szCs w:val="22"/>
              </w:rPr>
            </w:pPr>
            <w:r>
              <w:rPr>
                <w:rFonts w:ascii="Times New Roman" w:hAnsi="Times New Roman" w:cs="Times New Roman"/>
                <w:b/>
                <w:bCs/>
                <w:sz w:val="22"/>
                <w:szCs w:val="22"/>
              </w:rPr>
              <w:t xml:space="preserve">Room temperature if specimen is delivered upon collection* (up to four [4] hours) </w:t>
            </w:r>
          </w:p>
          <w:p w:rsidR="001E6A3C" w:rsidRDefault="001E6A3C" w:rsidP="00B73143">
            <w:pPr>
              <w:pStyle w:val="Default"/>
              <w:rPr>
                <w:rFonts w:ascii="Times New Roman" w:hAnsi="Times New Roman" w:cs="Times New Roman"/>
                <w:sz w:val="22"/>
                <w:szCs w:val="22"/>
              </w:rPr>
            </w:pPr>
            <w:r>
              <w:rPr>
                <w:rFonts w:ascii="Times New Roman" w:hAnsi="Times New Roman" w:cs="Times New Roman"/>
                <w:b/>
                <w:bCs/>
                <w:sz w:val="22"/>
                <w:szCs w:val="22"/>
              </w:rPr>
              <w:t xml:space="preserve">*If delivery delay is anticipated, refrigerate to prevent bacterial growth. </w:t>
            </w:r>
          </w:p>
          <w:p w:rsidR="001E6A3C" w:rsidRDefault="001E6A3C" w:rsidP="00B73143">
            <w:pPr>
              <w:pStyle w:val="Default"/>
              <w:rPr>
                <w:rFonts w:ascii="Times New Roman" w:hAnsi="Times New Roman" w:cs="Times New Roman"/>
                <w:sz w:val="22"/>
                <w:szCs w:val="22"/>
              </w:rPr>
            </w:pPr>
            <w:r>
              <w:rPr>
                <w:rFonts w:ascii="Times New Roman" w:hAnsi="Times New Roman" w:cs="Times New Roman"/>
                <w:b/>
                <w:bCs/>
                <w:sz w:val="22"/>
                <w:szCs w:val="22"/>
              </w:rPr>
              <w:t xml:space="preserve">*If delay is longer than overnight, add equal amount of 50% ethanol for proper fixation. </w:t>
            </w:r>
          </w:p>
        </w:tc>
      </w:tr>
      <w:tr w:rsidR="001E6A3C" w:rsidTr="00B73143">
        <w:tblPrEx>
          <w:tblCellMar>
            <w:top w:w="0" w:type="dxa"/>
            <w:bottom w:w="0" w:type="dxa"/>
          </w:tblCellMar>
        </w:tblPrEx>
        <w:trPr>
          <w:trHeight w:val="545"/>
        </w:trPr>
        <w:tc>
          <w:tcPr>
            <w:tcW w:w="4936" w:type="dxa"/>
          </w:tcPr>
          <w:p w:rsidR="001E6A3C" w:rsidRDefault="001E6A3C" w:rsidP="00B73143">
            <w:pPr>
              <w:pStyle w:val="Default"/>
              <w:rPr>
                <w:sz w:val="26"/>
                <w:szCs w:val="26"/>
              </w:rPr>
            </w:pPr>
            <w:r>
              <w:rPr>
                <w:sz w:val="26"/>
                <w:szCs w:val="26"/>
              </w:rPr>
              <w:t xml:space="preserve">Specimen Requirements: </w:t>
            </w:r>
          </w:p>
        </w:tc>
        <w:tc>
          <w:tcPr>
            <w:tcW w:w="4936" w:type="dxa"/>
          </w:tcPr>
          <w:p w:rsidR="001E6A3C" w:rsidRDefault="001E6A3C" w:rsidP="00B73143">
            <w:pPr>
              <w:pStyle w:val="Default"/>
              <w:rPr>
                <w:sz w:val="22"/>
                <w:szCs w:val="22"/>
              </w:rPr>
            </w:pPr>
            <w:r>
              <w:rPr>
                <w:sz w:val="22"/>
                <w:szCs w:val="22"/>
              </w:rPr>
              <w:t xml:space="preserve">• </w:t>
            </w:r>
            <w:r>
              <w:rPr>
                <w:rFonts w:ascii="Times New Roman" w:hAnsi="Times New Roman" w:cs="Times New Roman"/>
                <w:sz w:val="22"/>
                <w:szCs w:val="22"/>
              </w:rPr>
              <w:t xml:space="preserve">Labeled with two (2) patient identifiers </w:t>
            </w:r>
          </w:p>
          <w:p w:rsidR="001E6A3C" w:rsidRDefault="001E6A3C" w:rsidP="00B73143">
            <w:pPr>
              <w:pStyle w:val="Default"/>
              <w:rPr>
                <w:rFonts w:ascii="Times New Roman" w:hAnsi="Times New Roman" w:cs="Times New Roman"/>
                <w:sz w:val="22"/>
                <w:szCs w:val="22"/>
              </w:rPr>
            </w:pPr>
            <w:r>
              <w:rPr>
                <w:sz w:val="22"/>
                <w:szCs w:val="22"/>
              </w:rPr>
              <w:t xml:space="preserve">• </w:t>
            </w:r>
            <w:r>
              <w:rPr>
                <w:rFonts w:ascii="Times New Roman" w:hAnsi="Times New Roman" w:cs="Times New Roman"/>
                <w:sz w:val="22"/>
                <w:szCs w:val="22"/>
              </w:rPr>
              <w:t xml:space="preserve">Completed Cytology Specimen Requisition </w:t>
            </w:r>
          </w:p>
          <w:p w:rsidR="001E6A3C" w:rsidRDefault="001E6A3C" w:rsidP="00B73143">
            <w:pPr>
              <w:pStyle w:val="Default"/>
              <w:rPr>
                <w:sz w:val="22"/>
                <w:szCs w:val="22"/>
              </w:rPr>
            </w:pPr>
            <w:r>
              <w:rPr>
                <w:sz w:val="22"/>
                <w:szCs w:val="22"/>
              </w:rPr>
              <w:t xml:space="preserve">• </w:t>
            </w:r>
            <w:r>
              <w:rPr>
                <w:rFonts w:ascii="Times New Roman" w:hAnsi="Times New Roman" w:cs="Times New Roman"/>
                <w:sz w:val="22"/>
                <w:szCs w:val="22"/>
              </w:rPr>
              <w:t xml:space="preserve">All specimens should be placed in a secondary “Biohazard Safety Bag”. </w:t>
            </w:r>
          </w:p>
        </w:tc>
      </w:tr>
      <w:tr w:rsidR="001E6A3C" w:rsidTr="00B73143">
        <w:tblPrEx>
          <w:tblCellMar>
            <w:top w:w="0" w:type="dxa"/>
            <w:bottom w:w="0" w:type="dxa"/>
          </w:tblCellMar>
        </w:tblPrEx>
        <w:trPr>
          <w:trHeight w:val="180"/>
        </w:trPr>
        <w:tc>
          <w:tcPr>
            <w:tcW w:w="4936" w:type="dxa"/>
          </w:tcPr>
          <w:p w:rsidR="001E6A3C" w:rsidRDefault="001E6A3C" w:rsidP="00B73143">
            <w:pPr>
              <w:pStyle w:val="Default"/>
              <w:rPr>
                <w:sz w:val="26"/>
                <w:szCs w:val="26"/>
              </w:rPr>
            </w:pPr>
            <w:r>
              <w:rPr>
                <w:b/>
                <w:bCs/>
                <w:sz w:val="26"/>
                <w:szCs w:val="26"/>
              </w:rPr>
              <w:t xml:space="preserve">Transportation: </w:t>
            </w:r>
          </w:p>
        </w:tc>
        <w:tc>
          <w:tcPr>
            <w:tcW w:w="4936" w:type="dxa"/>
          </w:tcPr>
          <w:p w:rsidR="001E6A3C" w:rsidRDefault="001E6A3C" w:rsidP="00B73143">
            <w:pPr>
              <w:pStyle w:val="Default"/>
              <w:rPr>
                <w:sz w:val="22"/>
                <w:szCs w:val="22"/>
              </w:rPr>
            </w:pPr>
            <w:r>
              <w:rPr>
                <w:rFonts w:ascii="Times New Roman" w:hAnsi="Times New Roman" w:cs="Times New Roman"/>
                <w:b/>
                <w:bCs/>
                <w:sz w:val="22"/>
                <w:szCs w:val="22"/>
              </w:rPr>
              <w:t>As Soon As Possible Delivered / Send to Laboratory or Teton Pathology</w:t>
            </w:r>
          </w:p>
        </w:tc>
      </w:tr>
      <w:tr w:rsidR="001E6A3C" w:rsidTr="00B73143">
        <w:tblPrEx>
          <w:tblCellMar>
            <w:top w:w="0" w:type="dxa"/>
            <w:bottom w:w="0" w:type="dxa"/>
          </w:tblCellMar>
        </w:tblPrEx>
        <w:trPr>
          <w:trHeight w:val="925"/>
        </w:trPr>
        <w:tc>
          <w:tcPr>
            <w:tcW w:w="4936" w:type="dxa"/>
          </w:tcPr>
          <w:p w:rsidR="001E6A3C" w:rsidRDefault="001E6A3C" w:rsidP="00B73143">
            <w:pPr>
              <w:pStyle w:val="Default"/>
              <w:rPr>
                <w:sz w:val="26"/>
                <w:szCs w:val="26"/>
              </w:rPr>
            </w:pPr>
            <w:r>
              <w:rPr>
                <w:sz w:val="26"/>
                <w:szCs w:val="26"/>
              </w:rPr>
              <w:t xml:space="preserve">Comment / Special Instruction: </w:t>
            </w:r>
          </w:p>
        </w:tc>
        <w:tc>
          <w:tcPr>
            <w:tcW w:w="4936" w:type="dxa"/>
          </w:tcPr>
          <w:p w:rsidR="001E6A3C" w:rsidRDefault="001E6A3C" w:rsidP="00B73143">
            <w:pPr>
              <w:pStyle w:val="Default"/>
              <w:rPr>
                <w:rFonts w:ascii="Times New Roman" w:hAnsi="Times New Roman" w:cs="Times New Roman"/>
                <w:sz w:val="22"/>
                <w:szCs w:val="22"/>
              </w:rPr>
            </w:pPr>
            <w:r>
              <w:rPr>
                <w:sz w:val="22"/>
                <w:szCs w:val="22"/>
              </w:rPr>
              <w:t xml:space="preserve">• </w:t>
            </w:r>
            <w:r>
              <w:rPr>
                <w:rFonts w:ascii="Times New Roman" w:hAnsi="Times New Roman" w:cs="Times New Roman"/>
                <w:sz w:val="22"/>
                <w:szCs w:val="22"/>
              </w:rPr>
              <w:t xml:space="preserve">Excessive fixative should be avoided, as it will cause greater shrinkage and hardening of the cells. </w:t>
            </w:r>
          </w:p>
          <w:p w:rsidR="001E6A3C" w:rsidRDefault="001E6A3C" w:rsidP="00B73143">
            <w:pPr>
              <w:pStyle w:val="Default"/>
              <w:rPr>
                <w:rFonts w:ascii="Times New Roman" w:hAnsi="Times New Roman" w:cs="Times New Roman"/>
                <w:sz w:val="22"/>
                <w:szCs w:val="22"/>
              </w:rPr>
            </w:pPr>
            <w:r>
              <w:rPr>
                <w:sz w:val="22"/>
                <w:szCs w:val="22"/>
              </w:rPr>
              <w:t xml:space="preserve">• </w:t>
            </w:r>
            <w:r>
              <w:rPr>
                <w:rFonts w:ascii="Times New Roman" w:hAnsi="Times New Roman" w:cs="Times New Roman"/>
                <w:sz w:val="22"/>
                <w:szCs w:val="22"/>
              </w:rPr>
              <w:t xml:space="preserve">If the specimen is scanty, dilute the fixative before adding in order to maintain a final concentration of 25% alcohol. </w:t>
            </w:r>
          </w:p>
          <w:p w:rsidR="001E6A3C" w:rsidRDefault="001E6A3C" w:rsidP="00B73143">
            <w:pPr>
              <w:pStyle w:val="Default"/>
              <w:rPr>
                <w:rFonts w:ascii="Times New Roman" w:hAnsi="Times New Roman" w:cs="Times New Roman"/>
                <w:sz w:val="22"/>
                <w:szCs w:val="22"/>
              </w:rPr>
            </w:pPr>
            <w:r>
              <w:rPr>
                <w:sz w:val="22"/>
                <w:szCs w:val="22"/>
              </w:rPr>
              <w:t xml:space="preserve">• </w:t>
            </w:r>
            <w:r>
              <w:rPr>
                <w:rFonts w:ascii="Times New Roman" w:hAnsi="Times New Roman" w:cs="Times New Roman"/>
                <w:sz w:val="22"/>
                <w:szCs w:val="22"/>
              </w:rPr>
              <w:t xml:space="preserve">If specimen is too large for an equal volume of fixative in the collection tube, divide in between two containers and add an equal volume of 50% ethanol to each </w:t>
            </w:r>
          </w:p>
        </w:tc>
      </w:tr>
      <w:tr w:rsidR="001E6A3C" w:rsidTr="00B73143">
        <w:tblPrEx>
          <w:tblCellMar>
            <w:top w:w="0" w:type="dxa"/>
            <w:bottom w:w="0" w:type="dxa"/>
          </w:tblCellMar>
        </w:tblPrEx>
        <w:trPr>
          <w:trHeight w:val="423"/>
        </w:trPr>
        <w:tc>
          <w:tcPr>
            <w:tcW w:w="4936" w:type="dxa"/>
          </w:tcPr>
          <w:p w:rsidR="001E6A3C" w:rsidRDefault="001E6A3C" w:rsidP="00B73143">
            <w:pPr>
              <w:pStyle w:val="Default"/>
              <w:rPr>
                <w:sz w:val="26"/>
                <w:szCs w:val="26"/>
              </w:rPr>
            </w:pPr>
            <w:r>
              <w:rPr>
                <w:b/>
                <w:bCs/>
                <w:sz w:val="26"/>
                <w:szCs w:val="26"/>
              </w:rPr>
              <w:t xml:space="preserve">Rejection Criteria: </w:t>
            </w:r>
          </w:p>
        </w:tc>
        <w:tc>
          <w:tcPr>
            <w:tcW w:w="4936" w:type="dxa"/>
          </w:tcPr>
          <w:p w:rsidR="001E6A3C" w:rsidRDefault="001E6A3C" w:rsidP="00B73143">
            <w:pPr>
              <w:pStyle w:val="Default"/>
              <w:rPr>
                <w:sz w:val="22"/>
                <w:szCs w:val="22"/>
              </w:rPr>
            </w:pPr>
            <w:r>
              <w:rPr>
                <w:sz w:val="22"/>
                <w:szCs w:val="22"/>
              </w:rPr>
              <w:t xml:space="preserve">• </w:t>
            </w:r>
            <w:r>
              <w:rPr>
                <w:rFonts w:ascii="Times New Roman" w:hAnsi="Times New Roman" w:cs="Times New Roman"/>
                <w:b/>
                <w:bCs/>
                <w:sz w:val="22"/>
                <w:szCs w:val="22"/>
              </w:rPr>
              <w:t xml:space="preserve">Inadequate information / missing requisition </w:t>
            </w:r>
          </w:p>
          <w:p w:rsidR="001E6A3C" w:rsidRDefault="001E6A3C" w:rsidP="00B73143">
            <w:pPr>
              <w:pStyle w:val="Default"/>
              <w:rPr>
                <w:rFonts w:ascii="Times New Roman" w:hAnsi="Times New Roman" w:cs="Times New Roman"/>
                <w:sz w:val="22"/>
                <w:szCs w:val="22"/>
              </w:rPr>
            </w:pPr>
            <w:r>
              <w:rPr>
                <w:sz w:val="22"/>
                <w:szCs w:val="22"/>
              </w:rPr>
              <w:t xml:space="preserve">• </w:t>
            </w:r>
            <w:r>
              <w:rPr>
                <w:rFonts w:ascii="Times New Roman" w:hAnsi="Times New Roman" w:cs="Times New Roman"/>
                <w:b/>
                <w:bCs/>
                <w:sz w:val="22"/>
                <w:szCs w:val="22"/>
              </w:rPr>
              <w:t xml:space="preserve">Unlabeled / Mislabeled Specimen </w:t>
            </w:r>
          </w:p>
          <w:p w:rsidR="001E6A3C" w:rsidRDefault="001E6A3C" w:rsidP="00B73143">
            <w:pPr>
              <w:pStyle w:val="Default"/>
              <w:rPr>
                <w:sz w:val="22"/>
                <w:szCs w:val="22"/>
              </w:rPr>
            </w:pPr>
            <w:r>
              <w:rPr>
                <w:sz w:val="22"/>
                <w:szCs w:val="22"/>
              </w:rPr>
              <w:t xml:space="preserve">• </w:t>
            </w:r>
            <w:r>
              <w:rPr>
                <w:rFonts w:ascii="Times New Roman" w:hAnsi="Times New Roman" w:cs="Times New Roman"/>
                <w:b/>
                <w:bCs/>
                <w:sz w:val="22"/>
                <w:szCs w:val="22"/>
              </w:rPr>
              <w:t xml:space="preserve">Specimen received in inappropriate fixative </w:t>
            </w:r>
          </w:p>
        </w:tc>
      </w:tr>
      <w:tr w:rsidR="001E6A3C" w:rsidTr="00B73143">
        <w:tblPrEx>
          <w:tblCellMar>
            <w:top w:w="0" w:type="dxa"/>
            <w:bottom w:w="0" w:type="dxa"/>
          </w:tblCellMar>
        </w:tblPrEx>
        <w:trPr>
          <w:trHeight w:val="174"/>
        </w:trPr>
        <w:tc>
          <w:tcPr>
            <w:tcW w:w="4936" w:type="dxa"/>
          </w:tcPr>
          <w:p w:rsidR="001E6A3C" w:rsidRDefault="001E6A3C" w:rsidP="00B73143">
            <w:pPr>
              <w:pStyle w:val="Default"/>
              <w:rPr>
                <w:sz w:val="26"/>
                <w:szCs w:val="26"/>
              </w:rPr>
            </w:pPr>
            <w:r>
              <w:rPr>
                <w:sz w:val="26"/>
                <w:szCs w:val="26"/>
              </w:rPr>
              <w:t xml:space="preserve">Retention Time of Specimen: </w:t>
            </w:r>
          </w:p>
        </w:tc>
        <w:tc>
          <w:tcPr>
            <w:tcW w:w="4936" w:type="dxa"/>
          </w:tcPr>
          <w:p w:rsidR="001E6A3C" w:rsidRDefault="001E6A3C" w:rsidP="00B73143">
            <w:pPr>
              <w:pStyle w:val="Default"/>
              <w:rPr>
                <w:sz w:val="22"/>
                <w:szCs w:val="22"/>
              </w:rPr>
            </w:pPr>
            <w:r>
              <w:rPr>
                <w:rFonts w:ascii="Times New Roman" w:hAnsi="Times New Roman" w:cs="Times New Roman"/>
                <w:sz w:val="22"/>
                <w:szCs w:val="22"/>
              </w:rPr>
              <w:t xml:space="preserve">One (1) Week After Final Report is Issued </w:t>
            </w:r>
          </w:p>
        </w:tc>
      </w:tr>
      <w:tr w:rsidR="001E6A3C" w:rsidTr="00B73143">
        <w:tblPrEx>
          <w:tblCellMar>
            <w:top w:w="0" w:type="dxa"/>
            <w:bottom w:w="0" w:type="dxa"/>
          </w:tblCellMar>
        </w:tblPrEx>
        <w:trPr>
          <w:trHeight w:val="180"/>
        </w:trPr>
        <w:tc>
          <w:tcPr>
            <w:tcW w:w="4936" w:type="dxa"/>
          </w:tcPr>
          <w:p w:rsidR="001E6A3C" w:rsidRDefault="001E6A3C" w:rsidP="00B73143">
            <w:pPr>
              <w:pStyle w:val="Default"/>
              <w:rPr>
                <w:sz w:val="26"/>
                <w:szCs w:val="26"/>
              </w:rPr>
            </w:pPr>
            <w:r>
              <w:rPr>
                <w:b/>
                <w:bCs/>
                <w:sz w:val="26"/>
                <w:szCs w:val="26"/>
              </w:rPr>
              <w:t xml:space="preserve">Contact Information: </w:t>
            </w:r>
          </w:p>
        </w:tc>
        <w:tc>
          <w:tcPr>
            <w:tcW w:w="4936" w:type="dxa"/>
          </w:tcPr>
          <w:p w:rsidR="001E6A3C" w:rsidRDefault="001E6A3C" w:rsidP="00B73143">
            <w:pPr>
              <w:pStyle w:val="Default"/>
              <w:rPr>
                <w:rFonts w:ascii="Times New Roman" w:hAnsi="Times New Roman" w:cs="Times New Roman"/>
                <w:b/>
                <w:bCs/>
                <w:sz w:val="22"/>
                <w:szCs w:val="22"/>
              </w:rPr>
            </w:pPr>
            <w:proofErr w:type="spellStart"/>
            <w:r>
              <w:rPr>
                <w:rFonts w:ascii="Times New Roman" w:hAnsi="Times New Roman" w:cs="Times New Roman"/>
                <w:b/>
                <w:bCs/>
                <w:sz w:val="22"/>
                <w:szCs w:val="22"/>
              </w:rPr>
              <w:t>Cytopathology</w:t>
            </w:r>
            <w:proofErr w:type="spellEnd"/>
            <w:r>
              <w:rPr>
                <w:rFonts w:ascii="Times New Roman" w:hAnsi="Times New Roman" w:cs="Times New Roman"/>
                <w:b/>
                <w:bCs/>
                <w:sz w:val="22"/>
                <w:szCs w:val="22"/>
              </w:rPr>
              <w:t xml:space="preserve"> – Teton Pathology</w:t>
            </w:r>
          </w:p>
          <w:p w:rsidR="001E6A3C" w:rsidRDefault="001E6A3C" w:rsidP="00B73143">
            <w:pPr>
              <w:pStyle w:val="Default"/>
              <w:rPr>
                <w:sz w:val="22"/>
                <w:szCs w:val="22"/>
              </w:rPr>
            </w:pPr>
          </w:p>
        </w:tc>
      </w:tr>
    </w:tbl>
    <w:p w:rsidR="007B3E0C" w:rsidRDefault="007B3E0C"/>
    <w:sectPr w:rsidR="007B3E0C" w:rsidSect="007B3E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proofState w:spelling="clean" w:grammar="clean"/>
  <w:defaultTabStop w:val="720"/>
  <w:characterSpacingControl w:val="doNotCompress"/>
  <w:compat/>
  <w:rsids>
    <w:rsidRoot w:val="001E6A3C"/>
    <w:rsid w:val="001E6A3C"/>
    <w:rsid w:val="007B3E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A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6A3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1805</Characters>
  <Application>Microsoft Office Word</Application>
  <DocSecurity>0</DocSecurity>
  <Lines>15</Lines>
  <Paragraphs>4</Paragraphs>
  <ScaleCrop>false</ScaleCrop>
  <Company>Hewlett-Packard Company</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tward</dc:creator>
  <cp:lastModifiedBy>tward</cp:lastModifiedBy>
  <cp:revision>1</cp:revision>
  <dcterms:created xsi:type="dcterms:W3CDTF">2015-09-30T16:15:00Z</dcterms:created>
  <dcterms:modified xsi:type="dcterms:W3CDTF">2015-09-30T16:15:00Z</dcterms:modified>
</cp:coreProperties>
</file>