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E58" w:rsidRPr="00EB1688" w:rsidRDefault="00EB1688" w:rsidP="00EB1688">
      <w:pPr>
        <w:jc w:val="center"/>
        <w:rPr>
          <w:sz w:val="32"/>
        </w:rPr>
      </w:pPr>
      <w:bookmarkStart w:id="0" w:name="_GoBack"/>
      <w:bookmarkEnd w:id="0"/>
      <w:r w:rsidRPr="00EB1688">
        <w:rPr>
          <w:sz w:val="32"/>
        </w:rPr>
        <w:t>Transfusion Guidelines</w:t>
      </w:r>
    </w:p>
    <w:p w:rsidR="00EB1688" w:rsidRPr="00EB1688" w:rsidRDefault="00EB1688" w:rsidP="00EB1688">
      <w:pPr>
        <w:jc w:val="center"/>
        <w:rPr>
          <w:sz w:val="32"/>
        </w:rPr>
      </w:pPr>
      <w:r w:rsidRPr="00EB1688">
        <w:rPr>
          <w:sz w:val="32"/>
        </w:rPr>
        <w:t>Red Blood Cells</w:t>
      </w:r>
    </w:p>
    <w:tbl>
      <w:tblPr>
        <w:tblStyle w:val="TableGrid"/>
        <w:tblW w:w="0" w:type="auto"/>
        <w:tblLook w:val="04A0" w:firstRow="1" w:lastRow="0" w:firstColumn="1" w:lastColumn="0" w:noHBand="0" w:noVBand="1"/>
      </w:tblPr>
      <w:tblGrid>
        <w:gridCol w:w="2358"/>
        <w:gridCol w:w="4026"/>
        <w:gridCol w:w="3192"/>
      </w:tblGrid>
      <w:tr w:rsidR="00EB1688" w:rsidTr="00EB1688">
        <w:tc>
          <w:tcPr>
            <w:tcW w:w="2358" w:type="dxa"/>
          </w:tcPr>
          <w:p w:rsidR="00EB1688" w:rsidRDefault="00EB1688" w:rsidP="00EB1688">
            <w:pPr>
              <w:jc w:val="center"/>
            </w:pPr>
            <w:r>
              <w:t>Laboratory Result</w:t>
            </w:r>
          </w:p>
        </w:tc>
        <w:tc>
          <w:tcPr>
            <w:tcW w:w="4026" w:type="dxa"/>
          </w:tcPr>
          <w:p w:rsidR="00EB1688" w:rsidRDefault="00EB1688" w:rsidP="00EB1688">
            <w:pPr>
              <w:jc w:val="center"/>
            </w:pPr>
            <w:r>
              <w:t>Recommendation</w:t>
            </w:r>
          </w:p>
        </w:tc>
        <w:tc>
          <w:tcPr>
            <w:tcW w:w="3192" w:type="dxa"/>
          </w:tcPr>
          <w:p w:rsidR="00EB1688" w:rsidRDefault="00EB1688" w:rsidP="00EB1688">
            <w:pPr>
              <w:jc w:val="center"/>
            </w:pPr>
            <w:r>
              <w:t>Comments</w:t>
            </w:r>
          </w:p>
        </w:tc>
      </w:tr>
      <w:tr w:rsidR="00EB1688" w:rsidTr="00EB1688">
        <w:tc>
          <w:tcPr>
            <w:tcW w:w="2358" w:type="dxa"/>
            <w:vAlign w:val="center"/>
          </w:tcPr>
          <w:p w:rsidR="00EB1688" w:rsidRDefault="00EB1688" w:rsidP="00EB1688">
            <w:pPr>
              <w:jc w:val="center"/>
            </w:pPr>
            <w:r>
              <w:t>Hemoglobin &gt;10 g/dL</w:t>
            </w:r>
          </w:p>
        </w:tc>
        <w:tc>
          <w:tcPr>
            <w:tcW w:w="4026" w:type="dxa"/>
            <w:vAlign w:val="center"/>
          </w:tcPr>
          <w:p w:rsidR="00EB1688" w:rsidRDefault="00EB1688" w:rsidP="00EB1688">
            <w:pPr>
              <w:rPr>
                <w:rFonts w:ascii="Calibri" w:hAnsi="Calibri"/>
                <w:color w:val="000000"/>
              </w:rPr>
            </w:pPr>
            <w:r>
              <w:rPr>
                <w:rFonts w:ascii="Calibri" w:hAnsi="Calibri"/>
                <w:color w:val="000000"/>
              </w:rPr>
              <w:t>Red cell transfusion not indicated</w:t>
            </w:r>
          </w:p>
          <w:p w:rsidR="00EB1688" w:rsidRDefault="00EB1688" w:rsidP="00EB1688"/>
        </w:tc>
        <w:tc>
          <w:tcPr>
            <w:tcW w:w="3192" w:type="dxa"/>
            <w:vAlign w:val="center"/>
          </w:tcPr>
          <w:p w:rsidR="00EB1688" w:rsidRDefault="00EB1688" w:rsidP="00EB1688">
            <w:pPr>
              <w:rPr>
                <w:rFonts w:ascii="Calibri" w:hAnsi="Calibri"/>
                <w:color w:val="000000"/>
              </w:rPr>
            </w:pPr>
            <w:r>
              <w:rPr>
                <w:rFonts w:ascii="Calibri" w:hAnsi="Calibri"/>
                <w:color w:val="000000"/>
              </w:rPr>
              <w:t>There may be exceptional circumstances where red cell transfusion could be considered.</w:t>
            </w:r>
          </w:p>
          <w:p w:rsidR="00EB1688" w:rsidRDefault="00EB1688" w:rsidP="00EB1688"/>
        </w:tc>
      </w:tr>
      <w:tr w:rsidR="00EB1688" w:rsidTr="00EB1688">
        <w:tc>
          <w:tcPr>
            <w:tcW w:w="2358" w:type="dxa"/>
            <w:vAlign w:val="center"/>
          </w:tcPr>
          <w:p w:rsidR="00EB1688" w:rsidRDefault="00EB1688" w:rsidP="00EB1688">
            <w:pPr>
              <w:jc w:val="center"/>
              <w:rPr>
                <w:rFonts w:ascii="Calibri" w:hAnsi="Calibri"/>
                <w:color w:val="000000"/>
              </w:rPr>
            </w:pPr>
            <w:r>
              <w:rPr>
                <w:rFonts w:ascii="Calibri" w:hAnsi="Calibri"/>
                <w:color w:val="000000"/>
              </w:rPr>
              <w:t>Hemoglobin 8-10 g/dL</w:t>
            </w:r>
          </w:p>
          <w:p w:rsidR="00EB1688" w:rsidRDefault="00EB1688" w:rsidP="00EB1688">
            <w:pPr>
              <w:jc w:val="center"/>
            </w:pPr>
          </w:p>
        </w:tc>
        <w:tc>
          <w:tcPr>
            <w:tcW w:w="4026" w:type="dxa"/>
            <w:vAlign w:val="center"/>
          </w:tcPr>
          <w:p w:rsidR="00EB1688" w:rsidRDefault="00EB1688" w:rsidP="00EB1688">
            <w:pPr>
              <w:rPr>
                <w:rFonts w:ascii="Calibri" w:hAnsi="Calibri"/>
                <w:color w:val="000000"/>
              </w:rPr>
            </w:pPr>
            <w:r>
              <w:rPr>
                <w:rFonts w:ascii="Calibri" w:hAnsi="Calibri"/>
                <w:color w:val="000000"/>
              </w:rPr>
              <w:t>Red cell transfusion not indicated unless specific circumstances (clinically important signs or symptoms of anemia or ongoing bleeding) are present</w:t>
            </w:r>
          </w:p>
          <w:p w:rsidR="00EB1688" w:rsidRDefault="00EB1688" w:rsidP="00EB1688"/>
        </w:tc>
        <w:tc>
          <w:tcPr>
            <w:tcW w:w="3192" w:type="dxa"/>
            <w:vAlign w:val="center"/>
          </w:tcPr>
          <w:p w:rsidR="00EB1688" w:rsidRDefault="00EB1688" w:rsidP="00EB1688">
            <w:pPr>
              <w:rPr>
                <w:rFonts w:ascii="Calibri" w:hAnsi="Calibri"/>
                <w:color w:val="000000"/>
              </w:rPr>
            </w:pPr>
            <w:r>
              <w:rPr>
                <w:rFonts w:ascii="Calibri" w:hAnsi="Calibri"/>
                <w:color w:val="000000"/>
              </w:rPr>
              <w:t>Consider transfusion for patients with pre-existing cardiovascular disease who have the following symptoms: chest pain, orthostatic hypotension or tachycardia unresponsive to fluid resuscitation, or congestive heart failure.</w:t>
            </w:r>
          </w:p>
          <w:p w:rsidR="00EB1688" w:rsidRDefault="00EB1688" w:rsidP="00EB1688"/>
        </w:tc>
      </w:tr>
      <w:tr w:rsidR="00EB1688" w:rsidTr="00EB1688">
        <w:tc>
          <w:tcPr>
            <w:tcW w:w="2358" w:type="dxa"/>
            <w:vAlign w:val="center"/>
          </w:tcPr>
          <w:p w:rsidR="00EB1688" w:rsidRDefault="00EB1688" w:rsidP="00EB1688">
            <w:pPr>
              <w:jc w:val="center"/>
              <w:rPr>
                <w:rFonts w:ascii="Calibri" w:hAnsi="Calibri"/>
                <w:color w:val="000000"/>
              </w:rPr>
            </w:pPr>
            <w:r>
              <w:rPr>
                <w:rFonts w:ascii="Calibri" w:hAnsi="Calibri"/>
                <w:color w:val="000000"/>
              </w:rPr>
              <w:t>Hemoglobin 7-8 g/dL</w:t>
            </w:r>
          </w:p>
          <w:p w:rsidR="00EB1688" w:rsidRDefault="00EB1688" w:rsidP="00EB1688">
            <w:pPr>
              <w:jc w:val="center"/>
            </w:pPr>
          </w:p>
        </w:tc>
        <w:tc>
          <w:tcPr>
            <w:tcW w:w="4026" w:type="dxa"/>
            <w:vAlign w:val="center"/>
          </w:tcPr>
          <w:p w:rsidR="00EB1688" w:rsidRDefault="00EB1688" w:rsidP="00EB1688">
            <w:pPr>
              <w:rPr>
                <w:rFonts w:ascii="Calibri" w:hAnsi="Calibri"/>
                <w:color w:val="000000"/>
              </w:rPr>
            </w:pPr>
            <w:r>
              <w:rPr>
                <w:rFonts w:ascii="Calibri" w:hAnsi="Calibri"/>
                <w:color w:val="000000"/>
              </w:rPr>
              <w:t>Red cell transfusion should be considered in postoperative surgical patients when the hemoglobin level is &lt;8 g/dL.  Red cell transfusion is not indicated in intensive care unit patients until the hemoglobin is &lt;7 g/dL.</w:t>
            </w:r>
          </w:p>
          <w:p w:rsidR="00EB1688" w:rsidRDefault="00EB1688" w:rsidP="00EB1688"/>
        </w:tc>
        <w:tc>
          <w:tcPr>
            <w:tcW w:w="3192" w:type="dxa"/>
            <w:vAlign w:val="center"/>
          </w:tcPr>
          <w:p w:rsidR="00EB1688" w:rsidRDefault="00EB1688" w:rsidP="00EB1688">
            <w:pPr>
              <w:rPr>
                <w:rFonts w:ascii="Calibri" w:hAnsi="Calibri"/>
                <w:color w:val="000000"/>
              </w:rPr>
            </w:pPr>
            <w:r>
              <w:rPr>
                <w:rFonts w:ascii="Calibri" w:hAnsi="Calibri"/>
                <w:color w:val="000000"/>
              </w:rPr>
              <w:t>Adhere to a restrictive transfusion strategy (7-8 g/dL) in hospitalized stable patients even in the presence of pre-existing cardiovascular disease.  Transfusion could be considered but only after evaluating the patient's clinical status.  This same strategy is likely to apply to most medical patients with the exception of those with acute coronary syndrome.</w:t>
            </w:r>
          </w:p>
          <w:p w:rsidR="00EB1688" w:rsidRDefault="00EB1688" w:rsidP="00EB1688"/>
        </w:tc>
      </w:tr>
      <w:tr w:rsidR="00EB1688" w:rsidTr="00EB1688">
        <w:tc>
          <w:tcPr>
            <w:tcW w:w="2358" w:type="dxa"/>
            <w:vAlign w:val="center"/>
          </w:tcPr>
          <w:p w:rsidR="00EB1688" w:rsidRDefault="00EB1688" w:rsidP="00EB1688">
            <w:pPr>
              <w:jc w:val="center"/>
              <w:rPr>
                <w:rFonts w:ascii="Calibri" w:hAnsi="Calibri"/>
                <w:color w:val="000000"/>
              </w:rPr>
            </w:pPr>
            <w:r>
              <w:rPr>
                <w:rFonts w:ascii="Calibri" w:hAnsi="Calibri"/>
                <w:color w:val="000000"/>
              </w:rPr>
              <w:t>Hemoglobin &lt;7 g/dL</w:t>
            </w:r>
          </w:p>
          <w:p w:rsidR="00EB1688" w:rsidRDefault="00EB1688" w:rsidP="00EB1688">
            <w:pPr>
              <w:jc w:val="center"/>
            </w:pPr>
          </w:p>
        </w:tc>
        <w:tc>
          <w:tcPr>
            <w:tcW w:w="4026" w:type="dxa"/>
            <w:vAlign w:val="center"/>
          </w:tcPr>
          <w:p w:rsidR="00EB1688" w:rsidRDefault="00EB1688" w:rsidP="00EB1688">
            <w:pPr>
              <w:rPr>
                <w:rFonts w:ascii="Calibri" w:hAnsi="Calibri"/>
                <w:color w:val="000000"/>
              </w:rPr>
            </w:pPr>
            <w:r>
              <w:rPr>
                <w:rFonts w:ascii="Calibri" w:hAnsi="Calibri"/>
                <w:color w:val="000000"/>
              </w:rPr>
              <w:t>Red cell transfusion likely to be indicated.</w:t>
            </w:r>
          </w:p>
          <w:p w:rsidR="00EB1688" w:rsidRDefault="00EB1688" w:rsidP="00EB1688"/>
        </w:tc>
        <w:tc>
          <w:tcPr>
            <w:tcW w:w="3192" w:type="dxa"/>
            <w:vAlign w:val="center"/>
          </w:tcPr>
          <w:p w:rsidR="00EB1688" w:rsidRDefault="00EB1688" w:rsidP="00EB1688"/>
        </w:tc>
      </w:tr>
      <w:tr w:rsidR="00EB1688" w:rsidTr="00EB1688">
        <w:tc>
          <w:tcPr>
            <w:tcW w:w="2358" w:type="dxa"/>
            <w:vAlign w:val="center"/>
          </w:tcPr>
          <w:p w:rsidR="00EB1688" w:rsidRDefault="00EB1688" w:rsidP="00EB1688">
            <w:pPr>
              <w:jc w:val="center"/>
              <w:rPr>
                <w:rFonts w:ascii="Calibri" w:hAnsi="Calibri"/>
                <w:color w:val="000000"/>
              </w:rPr>
            </w:pPr>
            <w:r>
              <w:rPr>
                <w:rFonts w:ascii="Calibri" w:hAnsi="Calibri"/>
                <w:color w:val="000000"/>
              </w:rPr>
              <w:t>Hemoglobin &lt;6 g/dL</w:t>
            </w:r>
          </w:p>
          <w:p w:rsidR="00EB1688" w:rsidRDefault="00EB1688" w:rsidP="00EB1688">
            <w:pPr>
              <w:jc w:val="center"/>
            </w:pPr>
          </w:p>
        </w:tc>
        <w:tc>
          <w:tcPr>
            <w:tcW w:w="4026" w:type="dxa"/>
            <w:vAlign w:val="center"/>
          </w:tcPr>
          <w:p w:rsidR="00EB1688" w:rsidRDefault="00EB1688" w:rsidP="00EB1688">
            <w:pPr>
              <w:rPr>
                <w:rFonts w:ascii="Calibri" w:hAnsi="Calibri"/>
                <w:color w:val="000000"/>
              </w:rPr>
            </w:pPr>
            <w:r>
              <w:rPr>
                <w:rFonts w:ascii="Calibri" w:hAnsi="Calibri"/>
                <w:color w:val="000000"/>
              </w:rPr>
              <w:t>Red cell transfusion highly recommended except in exceptional circumstances.</w:t>
            </w:r>
          </w:p>
          <w:p w:rsidR="00EB1688" w:rsidRDefault="00EB1688" w:rsidP="00EB1688"/>
        </w:tc>
        <w:tc>
          <w:tcPr>
            <w:tcW w:w="3192" w:type="dxa"/>
            <w:vAlign w:val="center"/>
          </w:tcPr>
          <w:p w:rsidR="00EB1688" w:rsidRDefault="00EB1688" w:rsidP="00EB1688"/>
        </w:tc>
      </w:tr>
    </w:tbl>
    <w:p w:rsidR="00EB1688" w:rsidRDefault="00EB1688" w:rsidP="00EB1688">
      <w:pPr>
        <w:jc w:val="center"/>
      </w:pPr>
    </w:p>
    <w:p w:rsidR="00EB1688" w:rsidRPr="00EB1688" w:rsidRDefault="00EB1688" w:rsidP="00EB1688">
      <w:pPr>
        <w:spacing w:after="0" w:line="240" w:lineRule="auto"/>
        <w:rPr>
          <w:rFonts w:ascii="Calibri" w:eastAsia="Times New Roman" w:hAnsi="Calibri" w:cs="Times New Roman"/>
          <w:color w:val="000000"/>
        </w:rPr>
      </w:pPr>
      <w:r w:rsidRPr="00EB1688">
        <w:rPr>
          <w:rFonts w:ascii="Calibri" w:eastAsia="Times New Roman" w:hAnsi="Calibri" w:cs="Times New Roman"/>
          <w:color w:val="000000"/>
        </w:rPr>
        <w:t>Administer red cells 1 unit at a time in non-urgent settings.  The patient should be assessed (symptoms, clinical examination, hemoglobin level) before the administration of additional units.</w:t>
      </w:r>
    </w:p>
    <w:p w:rsidR="00EB1688" w:rsidRDefault="00EB1688" w:rsidP="00EB1688">
      <w:pPr>
        <w:spacing w:after="0" w:line="240" w:lineRule="auto"/>
        <w:rPr>
          <w:rFonts w:ascii="Calibri" w:eastAsia="Times New Roman" w:hAnsi="Calibri" w:cs="Times New Roman"/>
          <w:color w:val="000000"/>
        </w:rPr>
      </w:pPr>
    </w:p>
    <w:p w:rsidR="00EB1688" w:rsidRPr="00EB1688" w:rsidRDefault="00EB1688" w:rsidP="00EB1688">
      <w:pPr>
        <w:spacing w:after="0" w:line="240" w:lineRule="auto"/>
        <w:rPr>
          <w:rFonts w:ascii="Calibri" w:eastAsia="Times New Roman" w:hAnsi="Calibri" w:cs="Times New Roman"/>
          <w:color w:val="000000"/>
        </w:rPr>
      </w:pPr>
      <w:r w:rsidRPr="00EB1688">
        <w:rPr>
          <w:rFonts w:ascii="Calibri" w:eastAsia="Times New Roman" w:hAnsi="Calibri" w:cs="Times New Roman"/>
          <w:color w:val="000000"/>
        </w:rPr>
        <w:t>Adults: 1 unit typically increases the hemoglobin level by approximately 1 g/dL and increased the hematocrit by 3%</w:t>
      </w:r>
    </w:p>
    <w:p w:rsidR="00EB1688" w:rsidRPr="00EB1688" w:rsidRDefault="00EB1688" w:rsidP="00EB1688">
      <w:pPr>
        <w:spacing w:after="0" w:line="240" w:lineRule="auto"/>
        <w:rPr>
          <w:rFonts w:ascii="Calibri" w:eastAsia="Times New Roman" w:hAnsi="Calibri" w:cs="Times New Roman"/>
          <w:color w:val="000000"/>
        </w:rPr>
      </w:pPr>
      <w:r w:rsidRPr="00EB1688">
        <w:rPr>
          <w:rFonts w:ascii="Calibri" w:eastAsia="Times New Roman" w:hAnsi="Calibri" w:cs="Times New Roman"/>
          <w:color w:val="000000"/>
        </w:rPr>
        <w:t>Pediatric: 10-15 mL/kg typically increases the hemoglobin level by 2-3 g/dL</w:t>
      </w:r>
    </w:p>
    <w:p w:rsidR="00EB1688" w:rsidRDefault="00EB1688" w:rsidP="00EB1688">
      <w:pPr>
        <w:spacing w:after="0" w:line="240" w:lineRule="auto"/>
        <w:rPr>
          <w:rFonts w:ascii="Calibri" w:eastAsia="Times New Roman" w:hAnsi="Calibri" w:cs="Times New Roman"/>
          <w:color w:val="000000"/>
        </w:rPr>
      </w:pPr>
    </w:p>
    <w:p w:rsidR="00EB1688" w:rsidRPr="00EB1688" w:rsidRDefault="00EB1688" w:rsidP="00EB1688">
      <w:pPr>
        <w:spacing w:after="0" w:line="240" w:lineRule="auto"/>
        <w:rPr>
          <w:rFonts w:ascii="Calibri" w:eastAsia="Times New Roman" w:hAnsi="Calibri" w:cs="Times New Roman"/>
          <w:color w:val="000000"/>
        </w:rPr>
      </w:pPr>
      <w:r w:rsidRPr="00EB1688">
        <w:rPr>
          <w:rFonts w:ascii="Calibri" w:eastAsia="Times New Roman" w:hAnsi="Calibri" w:cs="Times New Roman"/>
          <w:color w:val="000000"/>
        </w:rPr>
        <w:t>Hemoglobin equilibrates in 15 minutes after RBC transfusion (in a stable, non-bleeding or hemolyzing adult with compatible RBCs).</w:t>
      </w:r>
    </w:p>
    <w:sectPr w:rsidR="00EB1688" w:rsidRPr="00EB1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88"/>
    <w:rsid w:val="001F5E58"/>
    <w:rsid w:val="009C68C5"/>
    <w:rsid w:val="00EB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72072">
      <w:bodyDiv w:val="1"/>
      <w:marLeft w:val="0"/>
      <w:marRight w:val="0"/>
      <w:marTop w:val="0"/>
      <w:marBottom w:val="0"/>
      <w:divBdr>
        <w:top w:val="none" w:sz="0" w:space="0" w:color="auto"/>
        <w:left w:val="none" w:sz="0" w:space="0" w:color="auto"/>
        <w:bottom w:val="none" w:sz="0" w:space="0" w:color="auto"/>
        <w:right w:val="none" w:sz="0" w:space="0" w:color="auto"/>
      </w:divBdr>
    </w:div>
    <w:div w:id="254940925">
      <w:bodyDiv w:val="1"/>
      <w:marLeft w:val="0"/>
      <w:marRight w:val="0"/>
      <w:marTop w:val="0"/>
      <w:marBottom w:val="0"/>
      <w:divBdr>
        <w:top w:val="none" w:sz="0" w:space="0" w:color="auto"/>
        <w:left w:val="none" w:sz="0" w:space="0" w:color="auto"/>
        <w:bottom w:val="none" w:sz="0" w:space="0" w:color="auto"/>
        <w:right w:val="none" w:sz="0" w:space="0" w:color="auto"/>
      </w:divBdr>
    </w:div>
    <w:div w:id="383524254">
      <w:bodyDiv w:val="1"/>
      <w:marLeft w:val="0"/>
      <w:marRight w:val="0"/>
      <w:marTop w:val="0"/>
      <w:marBottom w:val="0"/>
      <w:divBdr>
        <w:top w:val="none" w:sz="0" w:space="0" w:color="auto"/>
        <w:left w:val="none" w:sz="0" w:space="0" w:color="auto"/>
        <w:bottom w:val="none" w:sz="0" w:space="0" w:color="auto"/>
        <w:right w:val="none" w:sz="0" w:space="0" w:color="auto"/>
      </w:divBdr>
    </w:div>
    <w:div w:id="407507302">
      <w:bodyDiv w:val="1"/>
      <w:marLeft w:val="0"/>
      <w:marRight w:val="0"/>
      <w:marTop w:val="0"/>
      <w:marBottom w:val="0"/>
      <w:divBdr>
        <w:top w:val="none" w:sz="0" w:space="0" w:color="auto"/>
        <w:left w:val="none" w:sz="0" w:space="0" w:color="auto"/>
        <w:bottom w:val="none" w:sz="0" w:space="0" w:color="auto"/>
        <w:right w:val="none" w:sz="0" w:space="0" w:color="auto"/>
      </w:divBdr>
    </w:div>
    <w:div w:id="861356488">
      <w:bodyDiv w:val="1"/>
      <w:marLeft w:val="0"/>
      <w:marRight w:val="0"/>
      <w:marTop w:val="0"/>
      <w:marBottom w:val="0"/>
      <w:divBdr>
        <w:top w:val="none" w:sz="0" w:space="0" w:color="auto"/>
        <w:left w:val="none" w:sz="0" w:space="0" w:color="auto"/>
        <w:bottom w:val="none" w:sz="0" w:space="0" w:color="auto"/>
        <w:right w:val="none" w:sz="0" w:space="0" w:color="auto"/>
      </w:divBdr>
    </w:div>
    <w:div w:id="1171723114">
      <w:bodyDiv w:val="1"/>
      <w:marLeft w:val="0"/>
      <w:marRight w:val="0"/>
      <w:marTop w:val="0"/>
      <w:marBottom w:val="0"/>
      <w:divBdr>
        <w:top w:val="none" w:sz="0" w:space="0" w:color="auto"/>
        <w:left w:val="none" w:sz="0" w:space="0" w:color="auto"/>
        <w:bottom w:val="none" w:sz="0" w:space="0" w:color="auto"/>
        <w:right w:val="none" w:sz="0" w:space="0" w:color="auto"/>
      </w:divBdr>
    </w:div>
    <w:div w:id="1202980509">
      <w:bodyDiv w:val="1"/>
      <w:marLeft w:val="0"/>
      <w:marRight w:val="0"/>
      <w:marTop w:val="0"/>
      <w:marBottom w:val="0"/>
      <w:divBdr>
        <w:top w:val="none" w:sz="0" w:space="0" w:color="auto"/>
        <w:left w:val="none" w:sz="0" w:space="0" w:color="auto"/>
        <w:bottom w:val="none" w:sz="0" w:space="0" w:color="auto"/>
        <w:right w:val="none" w:sz="0" w:space="0" w:color="auto"/>
      </w:divBdr>
    </w:div>
    <w:div w:id="1319967510">
      <w:bodyDiv w:val="1"/>
      <w:marLeft w:val="0"/>
      <w:marRight w:val="0"/>
      <w:marTop w:val="0"/>
      <w:marBottom w:val="0"/>
      <w:divBdr>
        <w:top w:val="none" w:sz="0" w:space="0" w:color="auto"/>
        <w:left w:val="none" w:sz="0" w:space="0" w:color="auto"/>
        <w:bottom w:val="none" w:sz="0" w:space="0" w:color="auto"/>
        <w:right w:val="none" w:sz="0" w:space="0" w:color="auto"/>
      </w:divBdr>
    </w:div>
    <w:div w:id="1411195999">
      <w:bodyDiv w:val="1"/>
      <w:marLeft w:val="0"/>
      <w:marRight w:val="0"/>
      <w:marTop w:val="0"/>
      <w:marBottom w:val="0"/>
      <w:divBdr>
        <w:top w:val="none" w:sz="0" w:space="0" w:color="auto"/>
        <w:left w:val="none" w:sz="0" w:space="0" w:color="auto"/>
        <w:bottom w:val="none" w:sz="0" w:space="0" w:color="auto"/>
        <w:right w:val="none" w:sz="0" w:space="0" w:color="auto"/>
      </w:divBdr>
    </w:div>
    <w:div w:id="1442066798">
      <w:bodyDiv w:val="1"/>
      <w:marLeft w:val="0"/>
      <w:marRight w:val="0"/>
      <w:marTop w:val="0"/>
      <w:marBottom w:val="0"/>
      <w:divBdr>
        <w:top w:val="none" w:sz="0" w:space="0" w:color="auto"/>
        <w:left w:val="none" w:sz="0" w:space="0" w:color="auto"/>
        <w:bottom w:val="none" w:sz="0" w:space="0" w:color="auto"/>
        <w:right w:val="none" w:sz="0" w:space="0" w:color="auto"/>
      </w:divBdr>
    </w:div>
    <w:div w:id="1447311800">
      <w:bodyDiv w:val="1"/>
      <w:marLeft w:val="0"/>
      <w:marRight w:val="0"/>
      <w:marTop w:val="0"/>
      <w:marBottom w:val="0"/>
      <w:divBdr>
        <w:top w:val="none" w:sz="0" w:space="0" w:color="auto"/>
        <w:left w:val="none" w:sz="0" w:space="0" w:color="auto"/>
        <w:bottom w:val="none" w:sz="0" w:space="0" w:color="auto"/>
        <w:right w:val="none" w:sz="0" w:space="0" w:color="auto"/>
      </w:divBdr>
    </w:div>
    <w:div w:id="1522082588">
      <w:bodyDiv w:val="1"/>
      <w:marLeft w:val="0"/>
      <w:marRight w:val="0"/>
      <w:marTop w:val="0"/>
      <w:marBottom w:val="0"/>
      <w:divBdr>
        <w:top w:val="none" w:sz="0" w:space="0" w:color="auto"/>
        <w:left w:val="none" w:sz="0" w:space="0" w:color="auto"/>
        <w:bottom w:val="none" w:sz="0" w:space="0" w:color="auto"/>
        <w:right w:val="none" w:sz="0" w:space="0" w:color="auto"/>
      </w:divBdr>
    </w:div>
    <w:div w:id="1568153877">
      <w:bodyDiv w:val="1"/>
      <w:marLeft w:val="0"/>
      <w:marRight w:val="0"/>
      <w:marTop w:val="0"/>
      <w:marBottom w:val="0"/>
      <w:divBdr>
        <w:top w:val="none" w:sz="0" w:space="0" w:color="auto"/>
        <w:left w:val="none" w:sz="0" w:space="0" w:color="auto"/>
        <w:bottom w:val="none" w:sz="0" w:space="0" w:color="auto"/>
        <w:right w:val="none" w:sz="0" w:space="0" w:color="auto"/>
      </w:divBdr>
    </w:div>
    <w:div w:id="1603994642">
      <w:bodyDiv w:val="1"/>
      <w:marLeft w:val="0"/>
      <w:marRight w:val="0"/>
      <w:marTop w:val="0"/>
      <w:marBottom w:val="0"/>
      <w:divBdr>
        <w:top w:val="none" w:sz="0" w:space="0" w:color="auto"/>
        <w:left w:val="none" w:sz="0" w:space="0" w:color="auto"/>
        <w:bottom w:val="none" w:sz="0" w:space="0" w:color="auto"/>
        <w:right w:val="none" w:sz="0" w:space="0" w:color="auto"/>
      </w:divBdr>
    </w:div>
    <w:div w:id="1806895312">
      <w:bodyDiv w:val="1"/>
      <w:marLeft w:val="0"/>
      <w:marRight w:val="0"/>
      <w:marTop w:val="0"/>
      <w:marBottom w:val="0"/>
      <w:divBdr>
        <w:top w:val="none" w:sz="0" w:space="0" w:color="auto"/>
        <w:left w:val="none" w:sz="0" w:space="0" w:color="auto"/>
        <w:bottom w:val="none" w:sz="0" w:space="0" w:color="auto"/>
        <w:right w:val="none" w:sz="0" w:space="0" w:color="auto"/>
      </w:divBdr>
    </w:div>
    <w:div w:id="19978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Wentworth-Douglass Hospital</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LBMV</dc:creator>
  <cp:lastModifiedBy>lbbd</cp:lastModifiedBy>
  <cp:revision>2</cp:revision>
  <dcterms:created xsi:type="dcterms:W3CDTF">2017-06-12T14:42:00Z</dcterms:created>
  <dcterms:modified xsi:type="dcterms:W3CDTF">2017-06-12T14:42:00Z</dcterms:modified>
</cp:coreProperties>
</file>